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769" w:rsidRDefault="00450620">
      <w:pPr>
        <w:jc w:val="right"/>
        <w:rPr>
          <w:rFonts w:ascii="Bookman Old Style" w:eastAsia="Bookman Old Style" w:hAnsi="Bookman Old Style" w:cs="Bookman Old Style"/>
        </w:rPr>
      </w:pPr>
      <w:bookmarkStart w:id="0" w:name="_GoBack"/>
      <w:bookmarkEnd w:id="0"/>
      <w:r>
        <w:rPr>
          <w:rFonts w:ascii="Bookman Old Style" w:eastAsia="Bookman Old Style" w:hAnsi="Bookman Old Style" w:cs="Bookman Old Style"/>
        </w:rPr>
        <w:t>Bogotá, 12 de junio de 2024</w:t>
      </w:r>
    </w:p>
    <w:p w:rsidR="00923769" w:rsidRDefault="00923769">
      <w:pPr>
        <w:rPr>
          <w:rFonts w:ascii="Bookman Old Style" w:eastAsia="Bookman Old Style" w:hAnsi="Bookman Old Style" w:cs="Bookman Old Style"/>
        </w:rPr>
      </w:pPr>
    </w:p>
    <w:p w:rsidR="00923769" w:rsidRDefault="00450620">
      <w:pPr>
        <w:rPr>
          <w:rFonts w:ascii="Bookman Old Style" w:eastAsia="Bookman Old Style" w:hAnsi="Bookman Old Style" w:cs="Bookman Old Style"/>
        </w:rPr>
      </w:pPr>
      <w:r>
        <w:rPr>
          <w:rFonts w:ascii="Bookman Old Style" w:eastAsia="Bookman Old Style" w:hAnsi="Bookman Old Style" w:cs="Bookman Old Style"/>
        </w:rPr>
        <w:t>Honorable Senador</w:t>
      </w:r>
      <w:r>
        <w:rPr>
          <w:rFonts w:ascii="Bookman Old Style" w:eastAsia="Bookman Old Style" w:hAnsi="Bookman Old Style" w:cs="Bookman Old Style"/>
        </w:rPr>
        <w:br/>
      </w:r>
      <w:r>
        <w:rPr>
          <w:rFonts w:ascii="Bookman Old Style" w:eastAsia="Bookman Old Style" w:hAnsi="Bookman Old Style" w:cs="Bookman Old Style"/>
          <w:b/>
        </w:rPr>
        <w:t xml:space="preserve">IVÁN LEONIDAS NAME VÁSQUEZ </w:t>
      </w:r>
      <w:r>
        <w:rPr>
          <w:rFonts w:ascii="Bookman Old Style" w:eastAsia="Bookman Old Style" w:hAnsi="Bookman Old Style" w:cs="Bookman Old Style"/>
        </w:rPr>
        <w:br/>
        <w:t xml:space="preserve">Presidente </w:t>
      </w:r>
      <w:r>
        <w:rPr>
          <w:rFonts w:ascii="Bookman Old Style" w:eastAsia="Bookman Old Style" w:hAnsi="Bookman Old Style" w:cs="Bookman Old Style"/>
        </w:rPr>
        <w:br/>
        <w:t xml:space="preserve">Senado de la República </w:t>
      </w:r>
    </w:p>
    <w:p w:rsidR="00923769" w:rsidRDefault="00923769">
      <w:pPr>
        <w:rPr>
          <w:rFonts w:ascii="Bookman Old Style" w:eastAsia="Bookman Old Style" w:hAnsi="Bookman Old Style" w:cs="Bookman Old Style"/>
        </w:rPr>
      </w:pPr>
    </w:p>
    <w:p w:rsidR="00923769" w:rsidRDefault="00450620">
      <w:pPr>
        <w:rPr>
          <w:rFonts w:ascii="Bookman Old Style" w:eastAsia="Bookman Old Style" w:hAnsi="Bookman Old Style" w:cs="Bookman Old Style"/>
        </w:rPr>
      </w:pPr>
      <w:r>
        <w:rPr>
          <w:rFonts w:ascii="Bookman Old Style" w:eastAsia="Bookman Old Style" w:hAnsi="Bookman Old Style" w:cs="Bookman Old Style"/>
        </w:rPr>
        <w:t>Honorable Representante</w:t>
      </w:r>
      <w:r>
        <w:rPr>
          <w:rFonts w:ascii="Bookman Old Style" w:eastAsia="Bookman Old Style" w:hAnsi="Bookman Old Style" w:cs="Bookman Old Style"/>
        </w:rPr>
        <w:br/>
      </w:r>
      <w:r>
        <w:rPr>
          <w:rFonts w:ascii="Bookman Old Style" w:eastAsia="Bookman Old Style" w:hAnsi="Bookman Old Style" w:cs="Bookman Old Style"/>
          <w:b/>
        </w:rPr>
        <w:t xml:space="preserve">ANDRÉS DAVID CALLE AGUA </w:t>
      </w:r>
      <w:r>
        <w:rPr>
          <w:rFonts w:ascii="Bookman Old Style" w:eastAsia="Bookman Old Style" w:hAnsi="Bookman Old Style" w:cs="Bookman Old Style"/>
        </w:rPr>
        <w:br/>
        <w:t xml:space="preserve">Presidente </w:t>
      </w:r>
      <w:r>
        <w:rPr>
          <w:rFonts w:ascii="Bookman Old Style" w:eastAsia="Bookman Old Style" w:hAnsi="Bookman Old Style" w:cs="Bookman Old Style"/>
        </w:rPr>
        <w:br/>
        <w:t xml:space="preserve">Cámara de Representantes </w:t>
      </w:r>
      <w:r>
        <w:rPr>
          <w:rFonts w:ascii="Bookman Old Style" w:eastAsia="Bookman Old Style" w:hAnsi="Bookman Old Style" w:cs="Bookman Old Style"/>
        </w:rPr>
        <w:br/>
      </w:r>
      <w:r>
        <w:rPr>
          <w:rFonts w:ascii="Bookman Old Style" w:eastAsia="Bookman Old Style" w:hAnsi="Bookman Old Style" w:cs="Bookman Old Style"/>
        </w:rPr>
        <w:br/>
      </w:r>
    </w:p>
    <w:p w:rsidR="00923769" w:rsidRDefault="00450620">
      <w:pPr>
        <w:ind w:left="720"/>
        <w:jc w:val="both"/>
        <w:rPr>
          <w:rFonts w:ascii="Bookman Old Style" w:eastAsia="Bookman Old Style" w:hAnsi="Bookman Old Style" w:cs="Bookman Old Style"/>
        </w:rPr>
      </w:pPr>
      <w:r>
        <w:rPr>
          <w:rFonts w:ascii="Bookman Old Style" w:eastAsia="Bookman Old Style" w:hAnsi="Bookman Old Style" w:cs="Bookman Old Style"/>
          <w:b/>
        </w:rPr>
        <w:t>Referencia</w:t>
      </w:r>
      <w:r>
        <w:rPr>
          <w:rFonts w:ascii="Bookman Old Style" w:eastAsia="Bookman Old Style" w:hAnsi="Bookman Old Style" w:cs="Bookman Old Style"/>
        </w:rPr>
        <w:t>: Informe de conciliación del Proyecto de Ley N°  209 de 2022 Cámara - 343 de 2023 Senado “Por medio de la cual se establece la Canasta Básica Cultural en el país”.</w:t>
      </w:r>
    </w:p>
    <w:p w:rsidR="00923769" w:rsidRDefault="00923769">
      <w:pPr>
        <w:rPr>
          <w:rFonts w:ascii="Bookman Old Style" w:eastAsia="Bookman Old Style" w:hAnsi="Bookman Old Style" w:cs="Bookman Old Style"/>
        </w:rPr>
      </w:pPr>
    </w:p>
    <w:p w:rsidR="00923769" w:rsidRDefault="00923769">
      <w:pPr>
        <w:rPr>
          <w:rFonts w:ascii="Bookman Old Style" w:eastAsia="Bookman Old Style" w:hAnsi="Bookman Old Style" w:cs="Bookman Old Style"/>
        </w:rPr>
      </w:pPr>
    </w:p>
    <w:p w:rsidR="00923769" w:rsidRDefault="00450620">
      <w:pPr>
        <w:rPr>
          <w:rFonts w:ascii="Bookman Old Style" w:eastAsia="Bookman Old Style" w:hAnsi="Bookman Old Style" w:cs="Bookman Old Style"/>
        </w:rPr>
      </w:pPr>
      <w:r>
        <w:rPr>
          <w:rFonts w:ascii="Bookman Old Style" w:eastAsia="Bookman Old Style" w:hAnsi="Bookman Old Style" w:cs="Bookman Old Style"/>
        </w:rPr>
        <w:t xml:space="preserve">Respetados Presidentes: </w:t>
      </w:r>
    </w:p>
    <w:p w:rsidR="00923769" w:rsidRDefault="00923769">
      <w:pPr>
        <w:rPr>
          <w:rFonts w:ascii="Bookman Old Style" w:eastAsia="Bookman Old Style" w:hAnsi="Bookman Old Style" w:cs="Bookman Old Style"/>
        </w:rPr>
      </w:pPr>
    </w:p>
    <w:p w:rsidR="00923769" w:rsidRDefault="00450620">
      <w:pPr>
        <w:jc w:val="both"/>
        <w:rPr>
          <w:rFonts w:ascii="Bookman Old Style" w:eastAsia="Bookman Old Style" w:hAnsi="Bookman Old Style" w:cs="Bookman Old Style"/>
        </w:rPr>
      </w:pPr>
      <w:r>
        <w:rPr>
          <w:rFonts w:ascii="Bookman Old Style" w:eastAsia="Bookman Old Style" w:hAnsi="Bookman Old Style" w:cs="Bookman Old Style"/>
        </w:rPr>
        <w:t>Dando cumplimiento a las designaciones efectuadas por las Presi</w:t>
      </w:r>
      <w:r>
        <w:rPr>
          <w:rFonts w:ascii="Bookman Old Style" w:eastAsia="Bookman Old Style" w:hAnsi="Bookman Old Style" w:cs="Bookman Old Style"/>
        </w:rPr>
        <w:t>dencias del Senado de la República y de la Cámara de Representantes, y de conformidad con lo dispuesto en el artículo 161 de la Constitución Política y en los artículos 186, 187 y 188 de la Ley 5ª de 1992, nos permitimos enviar, el texto conciliado del pro</w:t>
      </w:r>
      <w:r>
        <w:rPr>
          <w:rFonts w:ascii="Bookman Old Style" w:eastAsia="Bookman Old Style" w:hAnsi="Bookman Old Style" w:cs="Bookman Old Style"/>
        </w:rPr>
        <w:t>yecto de ley de la referencia para continuar su trámite correspondiente y que pueda someterse a consideración de las plenarias del Senado y de la Cámara, a través de su conducto.</w:t>
      </w:r>
    </w:p>
    <w:p w:rsidR="00923769" w:rsidRDefault="00923769">
      <w:pPr>
        <w:rPr>
          <w:rFonts w:ascii="Bookman Old Style" w:eastAsia="Bookman Old Style" w:hAnsi="Bookman Old Style" w:cs="Bookman Old Style"/>
        </w:rPr>
      </w:pPr>
    </w:p>
    <w:p w:rsidR="00923769" w:rsidRDefault="00450620">
      <w:pPr>
        <w:rPr>
          <w:rFonts w:ascii="Bookman Old Style" w:eastAsia="Bookman Old Style" w:hAnsi="Bookman Old Style" w:cs="Bookman Old Style"/>
        </w:rPr>
      </w:pPr>
      <w:r>
        <w:rPr>
          <w:rFonts w:ascii="Bookman Old Style" w:eastAsia="Bookman Old Style" w:hAnsi="Bookman Old Style" w:cs="Bookman Old Style"/>
        </w:rPr>
        <w:t xml:space="preserve">Atentamente, </w:t>
      </w:r>
    </w:p>
    <w:p w:rsidR="00923769" w:rsidRDefault="00450620">
      <w:pPr>
        <w:rPr>
          <w:rFonts w:ascii="Bookman Old Style" w:eastAsia="Bookman Old Style" w:hAnsi="Bookman Old Style" w:cs="Bookman Old Style"/>
        </w:rPr>
      </w:pPr>
      <w:r>
        <w:rPr>
          <w:rFonts w:ascii="Bookman Old Style" w:eastAsia="Bookman Old Style" w:hAnsi="Bookman Old Style" w:cs="Bookman Old Style"/>
          <w:noProof/>
          <w:lang w:val="es-CO"/>
        </w:rPr>
        <w:drawing>
          <wp:anchor distT="114300" distB="114300" distL="114300" distR="114300" simplePos="0" relativeHeight="251658240" behindDoc="0" locked="0" layoutInCell="1" hidden="0" allowOverlap="1">
            <wp:simplePos x="0" y="0"/>
            <wp:positionH relativeFrom="page">
              <wp:posOffset>4486275</wp:posOffset>
            </wp:positionH>
            <wp:positionV relativeFrom="page">
              <wp:posOffset>6966203</wp:posOffset>
            </wp:positionV>
            <wp:extent cx="1433513" cy="926635"/>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433513" cy="926635"/>
                    </a:xfrm>
                    <a:prstGeom prst="rect">
                      <a:avLst/>
                    </a:prstGeom>
                    <a:ln/>
                  </pic:spPr>
                </pic:pic>
              </a:graphicData>
            </a:graphic>
          </wp:anchor>
        </w:drawing>
      </w: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23769">
        <w:tc>
          <w:tcPr>
            <w:tcW w:w="4514" w:type="dxa"/>
            <w:shd w:val="clear" w:color="auto" w:fill="auto"/>
            <w:tcMar>
              <w:top w:w="100" w:type="dxa"/>
              <w:left w:w="100" w:type="dxa"/>
              <w:bottom w:w="100" w:type="dxa"/>
              <w:right w:w="100" w:type="dxa"/>
            </w:tcMar>
          </w:tcPr>
          <w:p w:rsidR="00923769" w:rsidRDefault="00923769">
            <w:pPr>
              <w:rPr>
                <w:rFonts w:ascii="Bookman Old Style" w:eastAsia="Bookman Old Style" w:hAnsi="Bookman Old Style" w:cs="Bookman Old Style"/>
                <w:b/>
              </w:rPr>
            </w:pPr>
          </w:p>
          <w:p w:rsidR="00923769" w:rsidRDefault="00450620">
            <w:pPr>
              <w:jc w:val="center"/>
              <w:rPr>
                <w:rFonts w:ascii="Bookman Old Style" w:eastAsia="Bookman Old Style" w:hAnsi="Bookman Old Style" w:cs="Bookman Old Style"/>
                <w:b/>
              </w:rPr>
            </w:pPr>
            <w:r>
              <w:rPr>
                <w:rFonts w:ascii="Bookman Old Style" w:eastAsia="Bookman Old Style" w:hAnsi="Bookman Old Style" w:cs="Bookman Old Style"/>
                <w:b/>
                <w:noProof/>
                <w:lang w:val="es-CO"/>
              </w:rPr>
              <w:drawing>
                <wp:inline distT="114300" distB="114300" distL="114300" distR="114300">
                  <wp:extent cx="2005013" cy="121057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005013" cy="1210574"/>
                          </a:xfrm>
                          <a:prstGeom prst="rect">
                            <a:avLst/>
                          </a:prstGeom>
                          <a:ln/>
                        </pic:spPr>
                      </pic:pic>
                    </a:graphicData>
                  </a:graphic>
                </wp:inline>
              </w:drawing>
            </w:r>
          </w:p>
          <w:p w:rsidR="00923769" w:rsidRDefault="00450620">
            <w:pPr>
              <w:jc w:val="center"/>
              <w:rPr>
                <w:rFonts w:ascii="Bookman Old Style" w:eastAsia="Bookman Old Style" w:hAnsi="Bookman Old Style" w:cs="Bookman Old Style"/>
                <w:b/>
              </w:rPr>
            </w:pPr>
            <w:r>
              <w:rPr>
                <w:rFonts w:ascii="Bookman Old Style" w:eastAsia="Bookman Old Style" w:hAnsi="Bookman Old Style" w:cs="Bookman Old Style"/>
                <w:b/>
              </w:rPr>
              <w:t xml:space="preserve">SOLEDAD TAMAYO TAMAYO </w:t>
            </w:r>
          </w:p>
          <w:p w:rsidR="00923769" w:rsidRDefault="00450620">
            <w:pPr>
              <w:jc w:val="center"/>
              <w:rPr>
                <w:rFonts w:ascii="Bookman Old Style" w:eastAsia="Bookman Old Style" w:hAnsi="Bookman Old Style" w:cs="Bookman Old Style"/>
              </w:rPr>
            </w:pPr>
            <w:r>
              <w:rPr>
                <w:rFonts w:ascii="Bookman Old Style" w:eastAsia="Bookman Old Style" w:hAnsi="Bookman Old Style" w:cs="Bookman Old Style"/>
              </w:rPr>
              <w:t>Senadora de la República</w:t>
            </w:r>
          </w:p>
          <w:p w:rsidR="00923769" w:rsidRDefault="00450620">
            <w:pPr>
              <w:jc w:val="center"/>
              <w:rPr>
                <w:rFonts w:ascii="Bookman Old Style" w:eastAsia="Bookman Old Style" w:hAnsi="Bookman Old Style" w:cs="Bookman Old Style"/>
                <w:b/>
              </w:rPr>
            </w:pPr>
            <w:r>
              <w:rPr>
                <w:rFonts w:ascii="Bookman Old Style" w:eastAsia="Bookman Old Style" w:hAnsi="Bookman Old Style" w:cs="Bookman Old Style"/>
              </w:rPr>
              <w:t>Conciliad</w:t>
            </w:r>
            <w:r>
              <w:rPr>
                <w:rFonts w:ascii="Bookman Old Style" w:eastAsia="Bookman Old Style" w:hAnsi="Bookman Old Style" w:cs="Bookman Old Style"/>
              </w:rPr>
              <w:t xml:space="preserve">ora </w:t>
            </w:r>
          </w:p>
        </w:tc>
        <w:tc>
          <w:tcPr>
            <w:tcW w:w="4514" w:type="dxa"/>
            <w:shd w:val="clear" w:color="auto" w:fill="auto"/>
            <w:tcMar>
              <w:top w:w="100" w:type="dxa"/>
              <w:left w:w="100" w:type="dxa"/>
              <w:bottom w:w="100" w:type="dxa"/>
              <w:right w:w="100" w:type="dxa"/>
            </w:tcMar>
          </w:tcPr>
          <w:p w:rsidR="00923769" w:rsidRDefault="00923769">
            <w:pPr>
              <w:rPr>
                <w:rFonts w:ascii="Bookman Old Style" w:eastAsia="Bookman Old Style" w:hAnsi="Bookman Old Style" w:cs="Bookman Old Style"/>
                <w:b/>
              </w:rPr>
            </w:pPr>
          </w:p>
          <w:p w:rsidR="00923769" w:rsidRDefault="00923769">
            <w:pPr>
              <w:jc w:val="center"/>
              <w:rPr>
                <w:rFonts w:ascii="Bookman Old Style" w:eastAsia="Bookman Old Style" w:hAnsi="Bookman Old Style" w:cs="Bookman Old Style"/>
                <w:b/>
              </w:rPr>
            </w:pPr>
          </w:p>
          <w:p w:rsidR="00923769" w:rsidRDefault="00923769">
            <w:pPr>
              <w:jc w:val="center"/>
              <w:rPr>
                <w:rFonts w:ascii="Bookman Old Style" w:eastAsia="Bookman Old Style" w:hAnsi="Bookman Old Style" w:cs="Bookman Old Style"/>
                <w:b/>
              </w:rPr>
            </w:pPr>
          </w:p>
          <w:p w:rsidR="00923769" w:rsidRDefault="00923769">
            <w:pPr>
              <w:jc w:val="center"/>
              <w:rPr>
                <w:rFonts w:ascii="Bookman Old Style" w:eastAsia="Bookman Old Style" w:hAnsi="Bookman Old Style" w:cs="Bookman Old Style"/>
                <w:b/>
              </w:rPr>
            </w:pPr>
          </w:p>
          <w:p w:rsidR="00923769" w:rsidRDefault="00923769">
            <w:pPr>
              <w:jc w:val="center"/>
              <w:rPr>
                <w:rFonts w:ascii="Bookman Old Style" w:eastAsia="Bookman Old Style" w:hAnsi="Bookman Old Style" w:cs="Bookman Old Style"/>
                <w:b/>
              </w:rPr>
            </w:pPr>
          </w:p>
          <w:p w:rsidR="00923769" w:rsidRDefault="00923769">
            <w:pPr>
              <w:jc w:val="center"/>
              <w:rPr>
                <w:rFonts w:ascii="Bookman Old Style" w:eastAsia="Bookman Old Style" w:hAnsi="Bookman Old Style" w:cs="Bookman Old Style"/>
                <w:b/>
              </w:rPr>
            </w:pPr>
          </w:p>
          <w:p w:rsidR="00923769" w:rsidRDefault="00923769">
            <w:pPr>
              <w:jc w:val="center"/>
              <w:rPr>
                <w:rFonts w:ascii="Bookman Old Style" w:eastAsia="Bookman Old Style" w:hAnsi="Bookman Old Style" w:cs="Bookman Old Style"/>
                <w:b/>
              </w:rPr>
            </w:pPr>
          </w:p>
          <w:p w:rsidR="00923769" w:rsidRDefault="00450620">
            <w:pPr>
              <w:jc w:val="center"/>
              <w:rPr>
                <w:rFonts w:ascii="Bookman Old Style" w:eastAsia="Bookman Old Style" w:hAnsi="Bookman Old Style" w:cs="Bookman Old Style"/>
              </w:rPr>
            </w:pPr>
            <w:r>
              <w:rPr>
                <w:rFonts w:ascii="Bookman Old Style" w:eastAsia="Bookman Old Style" w:hAnsi="Bookman Old Style" w:cs="Bookman Old Style"/>
                <w:b/>
              </w:rPr>
              <w:t xml:space="preserve">DANIEL CARVALHO MEJÍA </w:t>
            </w:r>
            <w:r>
              <w:rPr>
                <w:rFonts w:ascii="Bookman Old Style" w:eastAsia="Bookman Old Style" w:hAnsi="Bookman Old Style" w:cs="Bookman Old Style"/>
              </w:rPr>
              <w:t>Representante a la Cámara</w:t>
            </w:r>
          </w:p>
          <w:p w:rsidR="00923769" w:rsidRDefault="00450620">
            <w:pPr>
              <w:jc w:val="center"/>
              <w:rPr>
                <w:rFonts w:ascii="Bookman Old Style" w:eastAsia="Bookman Old Style" w:hAnsi="Bookman Old Style" w:cs="Bookman Old Style"/>
              </w:rPr>
            </w:pPr>
            <w:r>
              <w:rPr>
                <w:rFonts w:ascii="Bookman Old Style" w:eastAsia="Bookman Old Style" w:hAnsi="Bookman Old Style" w:cs="Bookman Old Style"/>
              </w:rPr>
              <w:t xml:space="preserve">Conciliador </w:t>
            </w:r>
          </w:p>
        </w:tc>
      </w:tr>
      <w:tr w:rsidR="00923769">
        <w:trPr>
          <w:trHeight w:val="1811"/>
        </w:trPr>
        <w:tc>
          <w:tcPr>
            <w:tcW w:w="4514" w:type="dxa"/>
            <w:shd w:val="clear" w:color="auto" w:fill="auto"/>
            <w:tcMar>
              <w:top w:w="100" w:type="dxa"/>
              <w:left w:w="100" w:type="dxa"/>
              <w:bottom w:w="100" w:type="dxa"/>
              <w:right w:w="100" w:type="dxa"/>
            </w:tcMar>
          </w:tcPr>
          <w:p w:rsidR="00923769" w:rsidRDefault="00450620">
            <w:pPr>
              <w:jc w:val="center"/>
              <w:rPr>
                <w:rFonts w:ascii="Bookman Old Style" w:eastAsia="Bookman Old Style" w:hAnsi="Bookman Old Style" w:cs="Bookman Old Style"/>
                <w:b/>
              </w:rPr>
            </w:pPr>
            <w:r>
              <w:rPr>
                <w:rFonts w:ascii="Bookman Old Style" w:eastAsia="Bookman Old Style" w:hAnsi="Bookman Old Style" w:cs="Bookman Old Style"/>
                <w:b/>
                <w:noProof/>
                <w:lang w:val="es-CO"/>
              </w:rPr>
              <w:lastRenderedPageBreak/>
              <w:drawing>
                <wp:inline distT="114300" distB="114300" distL="114300" distR="114300">
                  <wp:extent cx="1509713" cy="1115874"/>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509713" cy="1115874"/>
                          </a:xfrm>
                          <a:prstGeom prst="rect">
                            <a:avLst/>
                          </a:prstGeom>
                          <a:ln/>
                        </pic:spPr>
                      </pic:pic>
                    </a:graphicData>
                  </a:graphic>
                </wp:inline>
              </w:drawing>
            </w:r>
          </w:p>
          <w:p w:rsidR="00923769" w:rsidRDefault="00450620">
            <w:pPr>
              <w:jc w:val="center"/>
              <w:rPr>
                <w:rFonts w:ascii="Bookman Old Style" w:eastAsia="Bookman Old Style" w:hAnsi="Bookman Old Style" w:cs="Bookman Old Style"/>
                <w:b/>
              </w:rPr>
            </w:pPr>
            <w:r>
              <w:rPr>
                <w:rFonts w:ascii="Bookman Old Style" w:eastAsia="Bookman Old Style" w:hAnsi="Bookman Old Style" w:cs="Bookman Old Style"/>
                <w:b/>
              </w:rPr>
              <w:t xml:space="preserve">ANA CAROLINA ESPITIA </w:t>
            </w:r>
            <w:r>
              <w:rPr>
                <w:rFonts w:ascii="Bookman Old Style" w:eastAsia="Bookman Old Style" w:hAnsi="Bookman Old Style" w:cs="Bookman Old Style"/>
                <w:b/>
              </w:rPr>
              <w:br/>
            </w:r>
            <w:r>
              <w:rPr>
                <w:rFonts w:ascii="Bookman Old Style" w:eastAsia="Bookman Old Style" w:hAnsi="Bookman Old Style" w:cs="Bookman Old Style"/>
              </w:rPr>
              <w:t xml:space="preserve">Senadora de la República </w:t>
            </w:r>
            <w:r>
              <w:rPr>
                <w:rFonts w:ascii="Bookman Old Style" w:eastAsia="Bookman Old Style" w:hAnsi="Bookman Old Style" w:cs="Bookman Old Style"/>
              </w:rPr>
              <w:br/>
              <w:t xml:space="preserve">Conciliadora </w:t>
            </w:r>
          </w:p>
        </w:tc>
        <w:tc>
          <w:tcPr>
            <w:tcW w:w="4514" w:type="dxa"/>
            <w:shd w:val="clear" w:color="auto" w:fill="auto"/>
            <w:tcMar>
              <w:top w:w="100" w:type="dxa"/>
              <w:left w:w="100" w:type="dxa"/>
              <w:bottom w:w="100" w:type="dxa"/>
              <w:right w:w="100" w:type="dxa"/>
            </w:tcMar>
          </w:tcPr>
          <w:p w:rsidR="00923769" w:rsidRDefault="00450620">
            <w:pPr>
              <w:rPr>
                <w:rFonts w:ascii="Bookman Old Style" w:eastAsia="Bookman Old Style" w:hAnsi="Bookman Old Style" w:cs="Bookman Old Style"/>
                <w:b/>
              </w:rPr>
            </w:pPr>
            <w:r>
              <w:rPr>
                <w:noProof/>
                <w:lang w:val="es-CO"/>
              </w:rPr>
              <w:drawing>
                <wp:anchor distT="114300" distB="114300" distL="114300" distR="114300" simplePos="0" relativeHeight="251659264" behindDoc="1" locked="0" layoutInCell="1" hidden="0" allowOverlap="1">
                  <wp:simplePos x="0" y="0"/>
                  <wp:positionH relativeFrom="column">
                    <wp:posOffset>171450</wp:posOffset>
                  </wp:positionH>
                  <wp:positionV relativeFrom="paragraph">
                    <wp:posOffset>114300</wp:posOffset>
                  </wp:positionV>
                  <wp:extent cx="2366963" cy="1027960"/>
                  <wp:effectExtent l="0" t="0" r="0" b="0"/>
                  <wp:wrapNone/>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366963" cy="1027960"/>
                          </a:xfrm>
                          <a:prstGeom prst="rect">
                            <a:avLst/>
                          </a:prstGeom>
                          <a:ln/>
                        </pic:spPr>
                      </pic:pic>
                    </a:graphicData>
                  </a:graphic>
                </wp:anchor>
              </w:drawing>
            </w:r>
          </w:p>
          <w:p w:rsidR="00923769" w:rsidRDefault="00923769">
            <w:pPr>
              <w:rPr>
                <w:rFonts w:ascii="Bookman Old Style" w:eastAsia="Bookman Old Style" w:hAnsi="Bookman Old Style" w:cs="Bookman Old Style"/>
                <w:b/>
              </w:rPr>
            </w:pPr>
          </w:p>
          <w:p w:rsidR="00923769" w:rsidRDefault="00923769">
            <w:pPr>
              <w:rPr>
                <w:rFonts w:ascii="Bookman Old Style" w:eastAsia="Bookman Old Style" w:hAnsi="Bookman Old Style" w:cs="Bookman Old Style"/>
                <w:b/>
              </w:rPr>
            </w:pPr>
          </w:p>
          <w:p w:rsidR="00923769" w:rsidRDefault="00923769">
            <w:pPr>
              <w:rPr>
                <w:rFonts w:ascii="Bookman Old Style" w:eastAsia="Bookman Old Style" w:hAnsi="Bookman Old Style" w:cs="Bookman Old Style"/>
                <w:b/>
              </w:rPr>
            </w:pPr>
          </w:p>
          <w:p w:rsidR="00923769" w:rsidRDefault="00923769">
            <w:pPr>
              <w:rPr>
                <w:rFonts w:ascii="Bookman Old Style" w:eastAsia="Bookman Old Style" w:hAnsi="Bookman Old Style" w:cs="Bookman Old Style"/>
                <w:b/>
              </w:rPr>
            </w:pPr>
          </w:p>
          <w:p w:rsidR="00923769" w:rsidRDefault="00923769">
            <w:pPr>
              <w:rPr>
                <w:rFonts w:ascii="Bookman Old Style" w:eastAsia="Bookman Old Style" w:hAnsi="Bookman Old Style" w:cs="Bookman Old Style"/>
                <w:b/>
              </w:rPr>
            </w:pPr>
          </w:p>
          <w:p w:rsidR="00923769" w:rsidRDefault="00450620">
            <w:pPr>
              <w:jc w:val="center"/>
              <w:rPr>
                <w:rFonts w:ascii="Bookman Old Style" w:eastAsia="Bookman Old Style" w:hAnsi="Bookman Old Style" w:cs="Bookman Old Style"/>
              </w:rPr>
            </w:pPr>
            <w:r>
              <w:rPr>
                <w:rFonts w:ascii="Bookman Old Style" w:eastAsia="Bookman Old Style" w:hAnsi="Bookman Old Style" w:cs="Bookman Old Style"/>
                <w:b/>
              </w:rPr>
              <w:t xml:space="preserve">JAIME RAÚL SALAMANCA </w:t>
            </w:r>
            <w:r>
              <w:rPr>
                <w:rFonts w:ascii="Bookman Old Style" w:eastAsia="Bookman Old Style" w:hAnsi="Bookman Old Style" w:cs="Bookman Old Style"/>
                <w:b/>
              </w:rPr>
              <w:br/>
              <w:t>Representante a la Cámara</w:t>
            </w:r>
            <w:r>
              <w:rPr>
                <w:rFonts w:ascii="Bookman Old Style" w:eastAsia="Bookman Old Style" w:hAnsi="Bookman Old Style" w:cs="Bookman Old Style"/>
              </w:rPr>
              <w:t xml:space="preserve"> </w:t>
            </w:r>
            <w:r>
              <w:rPr>
                <w:rFonts w:ascii="Bookman Old Style" w:eastAsia="Bookman Old Style" w:hAnsi="Bookman Old Style" w:cs="Bookman Old Style"/>
              </w:rPr>
              <w:br/>
              <w:t xml:space="preserve">Conciliador </w:t>
            </w:r>
          </w:p>
        </w:tc>
      </w:tr>
    </w:tbl>
    <w:p w:rsidR="00923769" w:rsidRDefault="00923769">
      <w:pPr>
        <w:rPr>
          <w:rFonts w:ascii="Bookman Old Style" w:eastAsia="Bookman Old Style" w:hAnsi="Bookman Old Style" w:cs="Bookman Old Style"/>
        </w:rPr>
      </w:pPr>
    </w:p>
    <w:p w:rsidR="00923769" w:rsidRDefault="00923769">
      <w:pPr>
        <w:rPr>
          <w:rFonts w:ascii="Bookman Old Style" w:eastAsia="Bookman Old Style" w:hAnsi="Bookman Old Style" w:cs="Bookman Old Style"/>
        </w:rPr>
      </w:pPr>
    </w:p>
    <w:p w:rsidR="00923769" w:rsidRDefault="00450620">
      <w:pPr>
        <w:ind w:left="720"/>
        <w:jc w:val="center"/>
        <w:rPr>
          <w:rFonts w:ascii="Bookman Old Style" w:eastAsia="Bookman Old Style" w:hAnsi="Bookman Old Style" w:cs="Bookman Old Style"/>
        </w:rPr>
      </w:pPr>
      <w:r>
        <w:rPr>
          <w:rFonts w:ascii="Bookman Old Style" w:eastAsia="Bookman Old Style" w:hAnsi="Bookman Old Style" w:cs="Bookman Old Style"/>
          <w:b/>
        </w:rPr>
        <w:t>INFORME DE CONCILIACIÓN</w:t>
      </w:r>
      <w:r>
        <w:rPr>
          <w:rFonts w:ascii="Bookman Old Style" w:eastAsia="Bookman Old Style" w:hAnsi="Bookman Old Style" w:cs="Bookman Old Style"/>
        </w:rPr>
        <w:br/>
      </w:r>
      <w:r>
        <w:rPr>
          <w:rFonts w:ascii="Bookman Old Style" w:eastAsia="Bookman Old Style" w:hAnsi="Bookman Old Style" w:cs="Bookman Old Style"/>
        </w:rPr>
        <w:t xml:space="preserve"> Proyecto de Ley N°  209 de 2022 Cámara - 343 de 2023 Senado </w:t>
      </w:r>
      <w:r>
        <w:rPr>
          <w:rFonts w:ascii="Bookman Old Style" w:eastAsia="Bookman Old Style" w:hAnsi="Bookman Old Style" w:cs="Bookman Old Style"/>
        </w:rPr>
        <w:br/>
        <w:t>“Por medio de la cual se establece la Canasta Básica Cultural en el país”.</w:t>
      </w:r>
    </w:p>
    <w:p w:rsidR="00923769" w:rsidRDefault="00923769">
      <w:pPr>
        <w:rPr>
          <w:rFonts w:ascii="Bookman Old Style" w:eastAsia="Bookman Old Style" w:hAnsi="Bookman Old Style" w:cs="Bookman Old Style"/>
        </w:rPr>
      </w:pPr>
    </w:p>
    <w:p w:rsidR="00923769" w:rsidRDefault="00923769">
      <w:pPr>
        <w:rPr>
          <w:rFonts w:ascii="Bookman Old Style" w:eastAsia="Bookman Old Style" w:hAnsi="Bookman Old Style" w:cs="Bookman Old Style"/>
        </w:rPr>
      </w:pPr>
    </w:p>
    <w:p w:rsidR="00923769" w:rsidRDefault="00450620">
      <w:pPr>
        <w:numPr>
          <w:ilvl w:val="0"/>
          <w:numId w:val="9"/>
        </w:numPr>
        <w:rPr>
          <w:rFonts w:ascii="Bookman Old Style" w:eastAsia="Bookman Old Style" w:hAnsi="Bookman Old Style" w:cs="Bookman Old Style"/>
          <w:b/>
        </w:rPr>
      </w:pPr>
      <w:r>
        <w:rPr>
          <w:rFonts w:ascii="Bookman Old Style" w:eastAsia="Bookman Old Style" w:hAnsi="Bookman Old Style" w:cs="Bookman Old Style"/>
          <w:b/>
        </w:rPr>
        <w:t>TRÁMITE DE LA DISCUSIÓN EN AMBAS CÁMARAS</w:t>
      </w:r>
    </w:p>
    <w:p w:rsidR="00923769" w:rsidRDefault="00923769">
      <w:pPr>
        <w:ind w:left="720"/>
        <w:rPr>
          <w:rFonts w:ascii="Bookman Old Style" w:eastAsia="Bookman Old Style" w:hAnsi="Bookman Old Style" w:cs="Bookman Old Style"/>
          <w:b/>
        </w:rPr>
      </w:pPr>
    </w:p>
    <w:p w:rsidR="00923769" w:rsidRDefault="00450620">
      <w:pPr>
        <w:ind w:left="720"/>
        <w:jc w:val="both"/>
        <w:rPr>
          <w:rFonts w:ascii="Bookman Old Style" w:eastAsia="Bookman Old Style" w:hAnsi="Bookman Old Style" w:cs="Bookman Old Style"/>
        </w:rPr>
      </w:pPr>
      <w:r>
        <w:rPr>
          <w:rFonts w:ascii="Bookman Old Style" w:eastAsia="Bookman Old Style" w:hAnsi="Bookman Old Style" w:cs="Bookman Old Style"/>
        </w:rPr>
        <w:t>El 26 de septiembre de 2022 fue radicado en la Secretaría General de la Cám</w:t>
      </w:r>
      <w:r>
        <w:rPr>
          <w:rFonts w:ascii="Bookman Old Style" w:eastAsia="Bookman Old Style" w:hAnsi="Bookman Old Style" w:cs="Bookman Old Style"/>
        </w:rPr>
        <w:t xml:space="preserve">ara de Representantes el Proyecto de Ley N° 209 de 2022 Cámara - 343 de 2023 Senado “Por medio de la cual se establece la canasta básica cultural en el país” por los Honorables Senadores </w:t>
      </w:r>
      <w:r>
        <w:rPr>
          <w:rFonts w:ascii="Bookman Old Style" w:eastAsia="Bookman Old Style" w:hAnsi="Bookman Old Style" w:cs="Bookman Old Style"/>
          <w:color w:val="333333"/>
        </w:rPr>
        <w:t xml:space="preserve">H.S. </w:t>
      </w:r>
      <w:hyperlink r:id="rId9">
        <w:r>
          <w:rPr>
            <w:rFonts w:ascii="Bookman Old Style" w:eastAsia="Bookman Old Style" w:hAnsi="Bookman Old Style" w:cs="Bookman Old Style"/>
            <w:color w:val="111111"/>
          </w:rPr>
          <w:t>Ana carolina Espitia Jerez</w:t>
        </w:r>
      </w:hyperlink>
      <w:r>
        <w:rPr>
          <w:rFonts w:ascii="Bookman Old Style" w:eastAsia="Bookman Old Style" w:hAnsi="Bookman Old Style" w:cs="Bookman Old Style"/>
          <w:color w:val="333333"/>
        </w:rPr>
        <w:t>, H.S.</w:t>
      </w:r>
      <w:hyperlink r:id="rId10">
        <w:r>
          <w:rPr>
            <w:rFonts w:ascii="Bookman Old Style" w:eastAsia="Bookman Old Style" w:hAnsi="Bookman Old Style" w:cs="Bookman Old Style"/>
            <w:color w:val="111111"/>
          </w:rPr>
          <w:t>Angélica lisbeth lozano correa</w:t>
        </w:r>
      </w:hyperlink>
      <w:r>
        <w:rPr>
          <w:rFonts w:ascii="Bookman Old Style" w:eastAsia="Bookman Old Style" w:hAnsi="Bookman Old Style" w:cs="Bookman Old Style"/>
          <w:color w:val="333333"/>
        </w:rPr>
        <w:t>, H.S.</w:t>
      </w:r>
      <w:hyperlink r:id="rId11">
        <w:r>
          <w:rPr>
            <w:rFonts w:ascii="Bookman Old Style" w:eastAsia="Bookman Old Style" w:hAnsi="Bookman Old Style" w:cs="Bookman Old Style"/>
            <w:color w:val="111111"/>
          </w:rPr>
          <w:t>Pedro Hernando Flórez Porras</w:t>
        </w:r>
      </w:hyperlink>
      <w:r>
        <w:rPr>
          <w:rFonts w:ascii="Bookman Old Style" w:eastAsia="Bookman Old Style" w:hAnsi="Bookman Old Style" w:cs="Bookman Old Style"/>
          <w:color w:val="333333"/>
        </w:rPr>
        <w:t>, H.S.</w:t>
      </w:r>
      <w:hyperlink r:id="rId12">
        <w:r>
          <w:rPr>
            <w:rFonts w:ascii="Bookman Old Style" w:eastAsia="Bookman Old Style" w:hAnsi="Bookman Old Style" w:cs="Bookman Old Style"/>
            <w:color w:val="111111"/>
          </w:rPr>
          <w:t>Guido Echeverri Piedrahita</w:t>
        </w:r>
      </w:hyperlink>
      <w:r>
        <w:rPr>
          <w:rFonts w:ascii="Bookman Old Style" w:eastAsia="Bookman Old Style" w:hAnsi="Bookman Old Style" w:cs="Bookman Old Style"/>
          <w:color w:val="333333"/>
        </w:rPr>
        <w:t xml:space="preserve"> y los Honorables Representantes: H.R.</w:t>
      </w:r>
      <w:hyperlink r:id="rId13">
        <w:r>
          <w:rPr>
            <w:rFonts w:ascii="Bookman Old Style" w:eastAsia="Bookman Old Style" w:hAnsi="Bookman Old Style" w:cs="Bookman Old Style"/>
            <w:color w:val="111111"/>
          </w:rPr>
          <w:t>Daniel Carvalho Mejía</w:t>
        </w:r>
      </w:hyperlink>
      <w:r>
        <w:rPr>
          <w:rFonts w:ascii="Bookman Old Style" w:eastAsia="Bookman Old Style" w:hAnsi="Bookman Old Style" w:cs="Bookman Old Style"/>
          <w:color w:val="333333"/>
        </w:rPr>
        <w:t>, H.R.</w:t>
      </w:r>
      <w:hyperlink r:id="rId14">
        <w:r>
          <w:rPr>
            <w:rFonts w:ascii="Bookman Old Style" w:eastAsia="Bookman Old Style" w:hAnsi="Bookman Old Style" w:cs="Bookman Old Style"/>
            <w:color w:val="111111"/>
          </w:rPr>
          <w:t>Jennifer Dalley Pedraza Sandoval</w:t>
        </w:r>
      </w:hyperlink>
      <w:r>
        <w:rPr>
          <w:rFonts w:ascii="Bookman Old Style" w:eastAsia="Bookman Old Style" w:hAnsi="Bookman Old Style" w:cs="Bookman Old Style"/>
          <w:color w:val="333333"/>
        </w:rPr>
        <w:t xml:space="preserve"> , H.R.</w:t>
      </w:r>
      <w:hyperlink r:id="rId15">
        <w:r>
          <w:rPr>
            <w:rFonts w:ascii="Bookman Old Style" w:eastAsia="Bookman Old Style" w:hAnsi="Bookman Old Style" w:cs="Bookman Old Style"/>
            <w:color w:val="111111"/>
          </w:rPr>
          <w:t>Carolina Giraldo Botero</w:t>
        </w:r>
      </w:hyperlink>
      <w:r>
        <w:rPr>
          <w:rFonts w:ascii="Bookman Old Style" w:eastAsia="Bookman Old Style" w:hAnsi="Bookman Old Style" w:cs="Bookman Old Style"/>
          <w:color w:val="333333"/>
        </w:rPr>
        <w:t xml:space="preserve"> , H.R.</w:t>
      </w:r>
      <w:hyperlink r:id="rId16">
        <w:r>
          <w:rPr>
            <w:rFonts w:ascii="Bookman Old Style" w:eastAsia="Bookman Old Style" w:hAnsi="Bookman Old Style" w:cs="Bookman Old Style"/>
            <w:color w:val="111111"/>
          </w:rPr>
          <w:t>Duvalier Sánchez Arango</w:t>
        </w:r>
      </w:hyperlink>
      <w:r>
        <w:rPr>
          <w:rFonts w:ascii="Bookman Old Style" w:eastAsia="Bookman Old Style" w:hAnsi="Bookman Old Style" w:cs="Bookman Old Style"/>
          <w:color w:val="333333"/>
        </w:rPr>
        <w:t xml:space="preserve"> , H.R.</w:t>
      </w:r>
      <w:hyperlink r:id="rId17">
        <w:r>
          <w:rPr>
            <w:rFonts w:ascii="Bookman Old Style" w:eastAsia="Bookman Old Style" w:hAnsi="Bookman Old Style" w:cs="Bookman Old Style"/>
            <w:color w:val="111111"/>
          </w:rPr>
          <w:t>Olga Lucia</w:t>
        </w:r>
        <w:r>
          <w:rPr>
            <w:rFonts w:ascii="Bookman Old Style" w:eastAsia="Bookman Old Style" w:hAnsi="Bookman Old Style" w:cs="Bookman Old Style"/>
            <w:color w:val="111111"/>
          </w:rPr>
          <w:t xml:space="preserve"> Velásquez Nieto</w:t>
        </w:r>
      </w:hyperlink>
      <w:r>
        <w:rPr>
          <w:rFonts w:ascii="Bookman Old Style" w:eastAsia="Bookman Old Style" w:hAnsi="Bookman Old Style" w:cs="Bookman Old Style"/>
          <w:color w:val="333333"/>
        </w:rPr>
        <w:t xml:space="preserve"> , H.R.</w:t>
      </w:r>
      <w:hyperlink r:id="rId18">
        <w:r>
          <w:rPr>
            <w:rFonts w:ascii="Bookman Old Style" w:eastAsia="Bookman Old Style" w:hAnsi="Bookman Old Style" w:cs="Bookman Old Style"/>
            <w:color w:val="111111"/>
          </w:rPr>
          <w:t>Wilder Iberson Escobar Ortiz</w:t>
        </w:r>
      </w:hyperlink>
      <w:r>
        <w:rPr>
          <w:rFonts w:ascii="Bookman Old Style" w:eastAsia="Bookman Old Style" w:hAnsi="Bookman Old Style" w:cs="Bookman Old Style"/>
          <w:color w:val="333333"/>
        </w:rPr>
        <w:t>, H.R.</w:t>
      </w:r>
      <w:hyperlink r:id="rId19">
        <w:r>
          <w:rPr>
            <w:rFonts w:ascii="Bookman Old Style" w:eastAsia="Bookman Old Style" w:hAnsi="Bookman Old Style" w:cs="Bookman Old Style"/>
            <w:color w:val="111111"/>
          </w:rPr>
          <w:t>Jaime Raúl Salamanca T</w:t>
        </w:r>
        <w:r>
          <w:rPr>
            <w:rFonts w:ascii="Bookman Old Style" w:eastAsia="Bookman Old Style" w:hAnsi="Bookman Old Style" w:cs="Bookman Old Style"/>
            <w:color w:val="111111"/>
          </w:rPr>
          <w:t>orres</w:t>
        </w:r>
      </w:hyperlink>
      <w:r>
        <w:rPr>
          <w:rFonts w:ascii="Bookman Old Style" w:eastAsia="Bookman Old Style" w:hAnsi="Bookman Old Style" w:cs="Bookman Old Style"/>
          <w:color w:val="333333"/>
        </w:rPr>
        <w:t xml:space="preserve"> , H.R.</w:t>
      </w:r>
      <w:hyperlink r:id="rId20">
        <w:r>
          <w:rPr>
            <w:rFonts w:ascii="Bookman Old Style" w:eastAsia="Bookman Old Style" w:hAnsi="Bookman Old Style" w:cs="Bookman Old Style"/>
            <w:color w:val="111111"/>
          </w:rPr>
          <w:t>Elkin Rodolfo Ospina Ospina</w:t>
        </w:r>
      </w:hyperlink>
      <w:r>
        <w:rPr>
          <w:rFonts w:ascii="Bookman Old Style" w:eastAsia="Bookman Old Style" w:hAnsi="Bookman Old Style" w:cs="Bookman Old Style"/>
          <w:color w:val="333333"/>
        </w:rPr>
        <w:t>, H.R.</w:t>
      </w:r>
      <w:hyperlink r:id="rId21">
        <w:r>
          <w:rPr>
            <w:rFonts w:ascii="Bookman Old Style" w:eastAsia="Bookman Old Style" w:hAnsi="Bookman Old Style" w:cs="Bookman Old Style"/>
            <w:color w:val="111111"/>
          </w:rPr>
          <w:t>Juan Sebastián Gómez Gonzáles</w:t>
        </w:r>
      </w:hyperlink>
      <w:r>
        <w:rPr>
          <w:rFonts w:ascii="Bookman Old Style" w:eastAsia="Bookman Old Style" w:hAnsi="Bookman Old Style" w:cs="Bookman Old Style"/>
          <w:color w:val="333333"/>
        </w:rPr>
        <w:t>, H.</w:t>
      </w:r>
      <w:r>
        <w:rPr>
          <w:rFonts w:ascii="Bookman Old Style" w:eastAsia="Bookman Old Style" w:hAnsi="Bookman Old Style" w:cs="Bookman Old Style"/>
          <w:color w:val="333333"/>
        </w:rPr>
        <w:t>R.</w:t>
      </w:r>
      <w:hyperlink r:id="rId22">
        <w:r>
          <w:rPr>
            <w:rFonts w:ascii="Bookman Old Style" w:eastAsia="Bookman Old Style" w:hAnsi="Bookman Old Style" w:cs="Bookman Old Style"/>
            <w:color w:val="111111"/>
          </w:rPr>
          <w:t>Luis Carlos Ochoa Tobón</w:t>
        </w:r>
      </w:hyperlink>
      <w:r>
        <w:rPr>
          <w:rFonts w:ascii="Bookman Old Style" w:eastAsia="Bookman Old Style" w:hAnsi="Bookman Old Style" w:cs="Bookman Old Style"/>
          <w:color w:val="333333"/>
        </w:rPr>
        <w:t>, H.R.</w:t>
      </w:r>
      <w:hyperlink r:id="rId23">
        <w:r>
          <w:rPr>
            <w:rFonts w:ascii="Bookman Old Style" w:eastAsia="Bookman Old Style" w:hAnsi="Bookman Old Style" w:cs="Bookman Old Style"/>
            <w:color w:val="111111"/>
          </w:rPr>
          <w:t>Juan Carlos Lozada Vargas</w:t>
        </w:r>
      </w:hyperlink>
      <w:r>
        <w:rPr>
          <w:rFonts w:ascii="Bookman Old Style" w:eastAsia="Bookman Old Style" w:hAnsi="Bookman Old Style" w:cs="Bookman Old Style"/>
          <w:color w:val="333333"/>
        </w:rPr>
        <w:t>, H.R.</w:t>
      </w:r>
      <w:hyperlink r:id="rId24">
        <w:r>
          <w:rPr>
            <w:rFonts w:ascii="Bookman Old Style" w:eastAsia="Bookman Old Style" w:hAnsi="Bookman Old Style" w:cs="Bookman Old Style"/>
            <w:color w:val="111111"/>
          </w:rPr>
          <w:t>Alejandro García Ríos</w:t>
        </w:r>
      </w:hyperlink>
      <w:r>
        <w:rPr>
          <w:rFonts w:ascii="Bookman Old Style" w:eastAsia="Bookman Old Style" w:hAnsi="Bookman Old Style" w:cs="Bookman Old Style"/>
          <w:color w:val="333333"/>
        </w:rPr>
        <w:t>, H.R.</w:t>
      </w:r>
      <w:hyperlink r:id="rId25">
        <w:r>
          <w:rPr>
            <w:rFonts w:ascii="Bookman Old Style" w:eastAsia="Bookman Old Style" w:hAnsi="Bookman Old Style" w:cs="Bookman Old Style"/>
            <w:color w:val="111111"/>
          </w:rPr>
          <w:t>Pedro Baracutao García Ospina</w:t>
        </w:r>
      </w:hyperlink>
      <w:r>
        <w:rPr>
          <w:rFonts w:ascii="Bookman Old Style" w:eastAsia="Bookman Old Style" w:hAnsi="Bookman Old Style" w:cs="Bookman Old Style"/>
          <w:color w:val="333333"/>
        </w:rPr>
        <w:t>, H.R.</w:t>
      </w:r>
      <w:hyperlink r:id="rId26">
        <w:r>
          <w:rPr>
            <w:rFonts w:ascii="Bookman Old Style" w:eastAsia="Bookman Old Style" w:hAnsi="Bookman Old Style" w:cs="Bookman Old Style"/>
            <w:color w:val="111111"/>
          </w:rPr>
          <w:t>Agmeth José Escaf Tijerino</w:t>
        </w:r>
      </w:hyperlink>
      <w:r>
        <w:rPr>
          <w:rFonts w:ascii="Bookman Old Style" w:eastAsia="Bookman Old Style" w:hAnsi="Bookman Old Style" w:cs="Bookman Old Style"/>
          <w:color w:val="333333"/>
        </w:rPr>
        <w:t>, H.R.</w:t>
      </w:r>
      <w:hyperlink r:id="rId27">
        <w:r>
          <w:rPr>
            <w:rFonts w:ascii="Bookman Old Style" w:eastAsia="Bookman Old Style" w:hAnsi="Bookman Old Style" w:cs="Bookman Old Style"/>
            <w:color w:val="111111"/>
          </w:rPr>
          <w:t>Diógenes Quintero Amaya</w:t>
        </w:r>
      </w:hyperlink>
      <w:r>
        <w:rPr>
          <w:rFonts w:ascii="Bookman Old Style" w:eastAsia="Bookman Old Style" w:hAnsi="Bookman Old Style" w:cs="Bookman Old Style"/>
          <w:color w:val="333333"/>
        </w:rPr>
        <w:t>, H.R.</w:t>
      </w:r>
      <w:hyperlink r:id="rId28">
        <w:r>
          <w:rPr>
            <w:rFonts w:ascii="Bookman Old Style" w:eastAsia="Bookman Old Style" w:hAnsi="Bookman Old Style" w:cs="Bookman Old Style"/>
            <w:color w:val="111111"/>
          </w:rPr>
          <w:t>Julián Peinado Ramírez</w:t>
        </w:r>
      </w:hyperlink>
      <w:r>
        <w:rPr>
          <w:rFonts w:ascii="Bookman Old Style" w:eastAsia="Bookman Old Style" w:hAnsi="Bookman Old Style" w:cs="Bookman Old Style"/>
          <w:color w:val="333333"/>
        </w:rPr>
        <w:t>, H.R.</w:t>
      </w:r>
      <w:hyperlink r:id="rId29">
        <w:r>
          <w:rPr>
            <w:rFonts w:ascii="Bookman Old Style" w:eastAsia="Bookman Old Style" w:hAnsi="Bookman Old Style" w:cs="Bookman Old Style"/>
            <w:color w:val="111111"/>
          </w:rPr>
          <w:t>Hernando González</w:t>
        </w:r>
      </w:hyperlink>
      <w:r>
        <w:rPr>
          <w:rFonts w:ascii="Bookman Old Style" w:eastAsia="Bookman Old Style" w:hAnsi="Bookman Old Style" w:cs="Bookman Old Style"/>
        </w:rPr>
        <w:t xml:space="preserve">. El proyecto fue publicado en la Gaceta n° 1183 de </w:t>
      </w:r>
      <w:r>
        <w:rPr>
          <w:rFonts w:ascii="Bookman Old Style" w:eastAsia="Bookman Old Style" w:hAnsi="Bookman Old Style" w:cs="Bookman Old Style"/>
        </w:rPr>
        <w:t xml:space="preserve">2022. </w:t>
      </w:r>
    </w:p>
    <w:p w:rsidR="00923769" w:rsidRDefault="00923769">
      <w:pPr>
        <w:ind w:left="720"/>
        <w:jc w:val="both"/>
        <w:rPr>
          <w:rFonts w:ascii="Bookman Old Style" w:eastAsia="Bookman Old Style" w:hAnsi="Bookman Old Style" w:cs="Bookman Old Style"/>
        </w:rPr>
      </w:pPr>
    </w:p>
    <w:p w:rsidR="00923769" w:rsidRDefault="00450620">
      <w:pPr>
        <w:ind w:left="720"/>
        <w:jc w:val="both"/>
        <w:rPr>
          <w:rFonts w:ascii="Bookman Old Style" w:eastAsia="Bookman Old Style" w:hAnsi="Bookman Old Style" w:cs="Bookman Old Style"/>
        </w:rPr>
      </w:pPr>
      <w:r>
        <w:rPr>
          <w:rFonts w:ascii="Bookman Old Style" w:eastAsia="Bookman Old Style" w:hAnsi="Bookman Old Style" w:cs="Bookman Old Style"/>
        </w:rPr>
        <w:t>La Secretaría General de la Cámara remitió a la Comisión Sexta Constitucional para su estudio, discusión y debate. La mesa directiva de la Comisión Sexta Constitucional designó a los Honorables Representantes Daniel Carvalho Mejía y Jaime Raúl Sala</w:t>
      </w:r>
      <w:r>
        <w:rPr>
          <w:rFonts w:ascii="Bookman Old Style" w:eastAsia="Bookman Old Style" w:hAnsi="Bookman Old Style" w:cs="Bookman Old Style"/>
        </w:rPr>
        <w:t>manca como ponentes del proyecto, frente al cual rindieron ponencia positiva y esta fue consignada en la Gaceta N° 1313 de 2022.  El proyecto fue anunciado en la Comisión Sexta Constitucional el 26 de octubre del 2022</w:t>
      </w:r>
    </w:p>
    <w:p w:rsidR="00923769" w:rsidRDefault="00923769">
      <w:pPr>
        <w:ind w:left="720"/>
        <w:jc w:val="both"/>
        <w:rPr>
          <w:rFonts w:ascii="Bookman Old Style" w:eastAsia="Bookman Old Style" w:hAnsi="Bookman Old Style" w:cs="Bookman Old Style"/>
        </w:rPr>
      </w:pPr>
    </w:p>
    <w:p w:rsidR="00923769" w:rsidRDefault="00450620">
      <w:pPr>
        <w:ind w:left="720"/>
        <w:jc w:val="both"/>
        <w:rPr>
          <w:rFonts w:ascii="Bookman Old Style" w:eastAsia="Bookman Old Style" w:hAnsi="Bookman Old Style" w:cs="Bookman Old Style"/>
        </w:rPr>
      </w:pPr>
      <w:r>
        <w:rPr>
          <w:rFonts w:ascii="Bookman Old Style" w:eastAsia="Bookman Old Style" w:hAnsi="Bookman Old Style" w:cs="Bookman Old Style"/>
        </w:rPr>
        <w:t>El 2 de noviembre del 2022 se llevó a</w:t>
      </w:r>
      <w:r>
        <w:rPr>
          <w:rFonts w:ascii="Bookman Old Style" w:eastAsia="Bookman Old Style" w:hAnsi="Bookman Old Style" w:cs="Bookman Old Style"/>
        </w:rPr>
        <w:t xml:space="preserve"> cabo el primer debate del proyecto de ley y fue aprobado por unanimidad en la Comisión Sexta Constitucional. La mesa directiva designó al Honorable Representante Daniel Carvalho Mejía y Jaime Raúl Salamanca como ponentes para el segundo debate en la Cámar</w:t>
      </w:r>
      <w:r>
        <w:rPr>
          <w:rFonts w:ascii="Bookman Old Style" w:eastAsia="Bookman Old Style" w:hAnsi="Bookman Old Style" w:cs="Bookman Old Style"/>
        </w:rPr>
        <w:t xml:space="preserve">a </w:t>
      </w:r>
      <w:r>
        <w:rPr>
          <w:rFonts w:ascii="Bookman Old Style" w:eastAsia="Bookman Old Style" w:hAnsi="Bookman Old Style" w:cs="Bookman Old Style"/>
        </w:rPr>
        <w:lastRenderedPageBreak/>
        <w:t xml:space="preserve">de Representantes. La ponencia positiva fue publicada en la gaceta número 1613 de 2022. Fue aprobado en la Plenaria de la Cámara de Representantes el 19 de abril del 2023 y fue consignado en el acta 049 del 2023. </w:t>
      </w:r>
    </w:p>
    <w:p w:rsidR="00923769" w:rsidRDefault="00923769">
      <w:pPr>
        <w:ind w:left="720"/>
        <w:jc w:val="both"/>
        <w:rPr>
          <w:rFonts w:ascii="Bookman Old Style" w:eastAsia="Bookman Old Style" w:hAnsi="Bookman Old Style" w:cs="Bookman Old Style"/>
        </w:rPr>
      </w:pPr>
    </w:p>
    <w:p w:rsidR="00923769" w:rsidRDefault="00450620">
      <w:pPr>
        <w:ind w:left="720"/>
        <w:jc w:val="both"/>
        <w:rPr>
          <w:rFonts w:ascii="Bookman Old Style" w:eastAsia="Bookman Old Style" w:hAnsi="Bookman Old Style" w:cs="Bookman Old Style"/>
        </w:rPr>
      </w:pPr>
      <w:r>
        <w:rPr>
          <w:rFonts w:ascii="Bookman Old Style" w:eastAsia="Bookman Old Style" w:hAnsi="Bookman Old Style" w:cs="Bookman Old Style"/>
        </w:rPr>
        <w:t>Se dio tránsito al Senado de la Repúbli</w:t>
      </w:r>
      <w:r>
        <w:rPr>
          <w:rFonts w:ascii="Bookman Old Style" w:eastAsia="Bookman Old Style" w:hAnsi="Bookman Old Style" w:cs="Bookman Old Style"/>
        </w:rPr>
        <w:t>ca y en la Comisión Sexta Constitucional fue designada la Honorable Senadora Soledad Tamayo Tamayo como coordinadora ponente. La ponencia positiva para el primer debate fue consignada en la Gaceta 434 del 2023 y fue aprobada en dicha comisión el 21 de febr</w:t>
      </w:r>
      <w:r>
        <w:rPr>
          <w:rFonts w:ascii="Bookman Old Style" w:eastAsia="Bookman Old Style" w:hAnsi="Bookman Old Style" w:cs="Bookman Old Style"/>
        </w:rPr>
        <w:t>ero del 2024.</w:t>
      </w:r>
    </w:p>
    <w:p w:rsidR="00923769" w:rsidRDefault="00923769">
      <w:pPr>
        <w:ind w:left="720"/>
        <w:jc w:val="both"/>
        <w:rPr>
          <w:rFonts w:ascii="Bookman Old Style" w:eastAsia="Bookman Old Style" w:hAnsi="Bookman Old Style" w:cs="Bookman Old Style"/>
        </w:rPr>
      </w:pPr>
    </w:p>
    <w:p w:rsidR="00923769" w:rsidRDefault="00450620">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El  jueves 6 de junio del 2024 fue aprobado en el segundo y último debate en la plenaria del Senado de la República y, por designación de las Mesas Directivas de ambas Cámaras, se inicia el presente trámite de conciliación. </w:t>
      </w:r>
    </w:p>
    <w:p w:rsidR="00923769" w:rsidRDefault="00923769">
      <w:pPr>
        <w:ind w:left="720"/>
        <w:rPr>
          <w:rFonts w:ascii="Bookman Old Style" w:eastAsia="Bookman Old Style" w:hAnsi="Bookman Old Style" w:cs="Bookman Old Style"/>
          <w:b/>
        </w:rPr>
      </w:pPr>
    </w:p>
    <w:p w:rsidR="00923769" w:rsidRDefault="00450620">
      <w:pPr>
        <w:numPr>
          <w:ilvl w:val="0"/>
          <w:numId w:val="9"/>
        </w:numPr>
      </w:pPr>
      <w:r>
        <w:rPr>
          <w:rFonts w:ascii="Bookman Old Style" w:eastAsia="Bookman Old Style" w:hAnsi="Bookman Old Style" w:cs="Bookman Old Style"/>
          <w:b/>
        </w:rPr>
        <w:t>OBJETO PROYECTO DE LEY</w:t>
      </w:r>
      <w:r>
        <w:rPr>
          <w:rFonts w:ascii="Bookman Old Style" w:eastAsia="Bookman Old Style" w:hAnsi="Bookman Old Style" w:cs="Bookman Old Style"/>
        </w:rPr>
        <w:t xml:space="preserve"> </w:t>
      </w:r>
    </w:p>
    <w:p w:rsidR="00923769" w:rsidRDefault="00923769">
      <w:pPr>
        <w:ind w:left="720"/>
        <w:rPr>
          <w:rFonts w:ascii="Bookman Old Style" w:eastAsia="Bookman Old Style" w:hAnsi="Bookman Old Style" w:cs="Bookman Old Style"/>
        </w:rPr>
      </w:pPr>
    </w:p>
    <w:p w:rsidR="00923769" w:rsidRDefault="00450620">
      <w:pPr>
        <w:ind w:left="720"/>
        <w:jc w:val="both"/>
        <w:rPr>
          <w:rFonts w:ascii="Bookman Old Style" w:eastAsia="Bookman Old Style" w:hAnsi="Bookman Old Style" w:cs="Bookman Old Style"/>
        </w:rPr>
      </w:pPr>
      <w:r>
        <w:rPr>
          <w:rFonts w:ascii="Bookman Old Style" w:eastAsia="Bookman Old Style" w:hAnsi="Bookman Old Style" w:cs="Bookman Old Style"/>
        </w:rPr>
        <w:t>El proyecto de ley N° 209 de 2022 Cámara - 343 de 2023 Senado, busca establecer una Canasta Básica Cultural - CBC para garantizar el acceso efectivo a las ofertas culturales y a las artes a través de acciones dirigidas y diferencia</w:t>
      </w:r>
      <w:r>
        <w:rPr>
          <w:rFonts w:ascii="Bookman Old Style" w:eastAsia="Bookman Old Style" w:hAnsi="Bookman Old Style" w:cs="Bookman Old Style"/>
        </w:rPr>
        <w:t xml:space="preserve">das que fortalezcan la educación cultural, el cierre de brechas culturales, la participación y acceso a los bienes y servicios culturales en igualdad de oportunidades, la contribución a la sostenibilidad de los actores culturales colombianos por medio del </w:t>
      </w:r>
      <w:r>
        <w:rPr>
          <w:rFonts w:ascii="Bookman Old Style" w:eastAsia="Bookman Old Style" w:hAnsi="Bookman Old Style" w:cs="Bookman Old Style"/>
        </w:rPr>
        <w:t xml:space="preserve">consumo local y nacional, a través de incentivos y acciones que fortalezcan el intercambio, la generación de valor simbólico o económico como una política pública en materia cultural y en el marco del Sistema Nacional de Cultura. </w:t>
      </w:r>
    </w:p>
    <w:p w:rsidR="00923769" w:rsidRDefault="00923769">
      <w:pPr>
        <w:ind w:left="720"/>
        <w:jc w:val="both"/>
        <w:rPr>
          <w:rFonts w:ascii="Bookman Old Style" w:eastAsia="Bookman Old Style" w:hAnsi="Bookman Old Style" w:cs="Bookman Old Style"/>
        </w:rPr>
      </w:pPr>
    </w:p>
    <w:p w:rsidR="00923769" w:rsidRDefault="00923769">
      <w:pPr>
        <w:ind w:left="720"/>
        <w:rPr>
          <w:rFonts w:ascii="Bookman Old Style" w:eastAsia="Bookman Old Style" w:hAnsi="Bookman Old Style" w:cs="Bookman Old Style"/>
        </w:rPr>
      </w:pPr>
    </w:p>
    <w:p w:rsidR="00923769" w:rsidRDefault="00450620">
      <w:pPr>
        <w:numPr>
          <w:ilvl w:val="0"/>
          <w:numId w:val="9"/>
        </w:numPr>
        <w:jc w:val="both"/>
        <w:rPr>
          <w:rFonts w:ascii="Bookman Old Style" w:eastAsia="Bookman Old Style" w:hAnsi="Bookman Old Style" w:cs="Bookman Old Style"/>
          <w:b/>
        </w:rPr>
      </w:pPr>
      <w:r>
        <w:rPr>
          <w:rFonts w:ascii="Bookman Old Style" w:eastAsia="Bookman Old Style" w:hAnsi="Bookman Old Style" w:cs="Bookman Old Style"/>
          <w:b/>
        </w:rPr>
        <w:t xml:space="preserve">PLIEGO DE CONCILIACIÓN </w:t>
      </w:r>
      <w:r>
        <w:rPr>
          <w:rFonts w:ascii="Bookman Old Style" w:eastAsia="Bookman Old Style" w:hAnsi="Bookman Old Style" w:cs="Bookman Old Style"/>
          <w:b/>
        </w:rPr>
        <w:t xml:space="preserve">ENTRE SENADO DE LA REPÚBLICA Y CÁMARA DE REPRESENTANTES </w:t>
      </w:r>
    </w:p>
    <w:p w:rsidR="00923769" w:rsidRDefault="00923769">
      <w:pPr>
        <w:jc w:val="both"/>
        <w:rPr>
          <w:rFonts w:ascii="Bookman Old Style" w:eastAsia="Bookman Old Style" w:hAnsi="Bookman Old Style" w:cs="Bookman Old Style"/>
          <w:b/>
        </w:rPr>
      </w:pPr>
    </w:p>
    <w:p w:rsidR="00923769" w:rsidRDefault="00923769">
      <w:pPr>
        <w:jc w:val="both"/>
        <w:rPr>
          <w:rFonts w:ascii="Bookman Old Style" w:eastAsia="Bookman Old Style" w:hAnsi="Bookman Old Style" w:cs="Bookman Old Style"/>
          <w:b/>
        </w:rPr>
      </w:pPr>
    </w:p>
    <w:tbl>
      <w:tblPr>
        <w:tblStyle w:val="a0"/>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0"/>
        <w:gridCol w:w="3465"/>
        <w:gridCol w:w="1995"/>
      </w:tblGrid>
      <w:tr w:rsidR="00923769">
        <w:trPr>
          <w:trHeight w:val="983"/>
        </w:trPr>
        <w:tc>
          <w:tcPr>
            <w:tcW w:w="3540" w:type="dxa"/>
            <w:shd w:val="clear" w:color="auto" w:fill="auto"/>
            <w:tcMar>
              <w:top w:w="100" w:type="dxa"/>
              <w:left w:w="100" w:type="dxa"/>
              <w:bottom w:w="100" w:type="dxa"/>
              <w:right w:w="100" w:type="dxa"/>
            </w:tcMar>
          </w:tcPr>
          <w:p w:rsidR="00923769" w:rsidRDefault="00450620">
            <w:pPr>
              <w:widowControl w:val="0"/>
              <w:pBdr>
                <w:top w:val="nil"/>
                <w:left w:val="nil"/>
                <w:bottom w:val="nil"/>
                <w:right w:val="nil"/>
                <w:between w:val="nil"/>
              </w:pBdr>
              <w:spacing w:line="240" w:lineRule="auto"/>
              <w:jc w:val="center"/>
              <w:rPr>
                <w:rFonts w:ascii="Bookman Old Style" w:eastAsia="Bookman Old Style" w:hAnsi="Bookman Old Style" w:cs="Bookman Old Style"/>
                <w:b/>
              </w:rPr>
            </w:pPr>
            <w:r>
              <w:rPr>
                <w:rFonts w:ascii="Bookman Old Style" w:eastAsia="Bookman Old Style" w:hAnsi="Bookman Old Style" w:cs="Bookman Old Style"/>
                <w:b/>
              </w:rPr>
              <w:t xml:space="preserve">TEXTO APROBADO EN CÁMARA DE REPRESENTANTES </w:t>
            </w:r>
          </w:p>
        </w:tc>
        <w:tc>
          <w:tcPr>
            <w:tcW w:w="3465" w:type="dxa"/>
            <w:shd w:val="clear" w:color="auto" w:fill="auto"/>
            <w:tcMar>
              <w:top w:w="100" w:type="dxa"/>
              <w:left w:w="100" w:type="dxa"/>
              <w:bottom w:w="100" w:type="dxa"/>
              <w:right w:w="100" w:type="dxa"/>
            </w:tcMar>
          </w:tcPr>
          <w:p w:rsidR="00923769" w:rsidRDefault="00450620">
            <w:pPr>
              <w:widowControl w:val="0"/>
              <w:pBdr>
                <w:top w:val="nil"/>
                <w:left w:val="nil"/>
                <w:bottom w:val="nil"/>
                <w:right w:val="nil"/>
                <w:between w:val="nil"/>
              </w:pBdr>
              <w:spacing w:line="240" w:lineRule="auto"/>
              <w:jc w:val="center"/>
              <w:rPr>
                <w:rFonts w:ascii="Bookman Old Style" w:eastAsia="Bookman Old Style" w:hAnsi="Bookman Old Style" w:cs="Bookman Old Style"/>
                <w:b/>
              </w:rPr>
            </w:pPr>
            <w:r>
              <w:rPr>
                <w:rFonts w:ascii="Bookman Old Style" w:eastAsia="Bookman Old Style" w:hAnsi="Bookman Old Style" w:cs="Bookman Old Style"/>
                <w:b/>
              </w:rPr>
              <w:t xml:space="preserve">TEXTO APROBADO EN SENADO DE LA REPÚBLICA </w:t>
            </w:r>
          </w:p>
        </w:tc>
        <w:tc>
          <w:tcPr>
            <w:tcW w:w="1995" w:type="dxa"/>
            <w:shd w:val="clear" w:color="auto" w:fill="auto"/>
            <w:tcMar>
              <w:top w:w="100" w:type="dxa"/>
              <w:left w:w="100" w:type="dxa"/>
              <w:bottom w:w="100" w:type="dxa"/>
              <w:right w:w="100" w:type="dxa"/>
            </w:tcMar>
          </w:tcPr>
          <w:p w:rsidR="00923769" w:rsidRDefault="00450620">
            <w:pPr>
              <w:widowControl w:val="0"/>
              <w:pBdr>
                <w:top w:val="nil"/>
                <w:left w:val="nil"/>
                <w:bottom w:val="nil"/>
                <w:right w:val="nil"/>
                <w:between w:val="nil"/>
              </w:pBdr>
              <w:spacing w:line="240" w:lineRule="auto"/>
              <w:jc w:val="both"/>
              <w:rPr>
                <w:rFonts w:ascii="Bookman Old Style" w:eastAsia="Bookman Old Style" w:hAnsi="Bookman Old Style" w:cs="Bookman Old Style"/>
                <w:b/>
              </w:rPr>
            </w:pPr>
            <w:r>
              <w:rPr>
                <w:rFonts w:ascii="Bookman Old Style" w:eastAsia="Bookman Old Style" w:hAnsi="Bookman Old Style" w:cs="Bookman Old Style"/>
                <w:b/>
              </w:rPr>
              <w:t xml:space="preserve">TEXTO ACOGIDO </w:t>
            </w:r>
          </w:p>
        </w:tc>
      </w:tr>
      <w:tr w:rsidR="00923769">
        <w:tc>
          <w:tcPr>
            <w:tcW w:w="3540" w:type="dxa"/>
            <w:shd w:val="clear" w:color="auto" w:fill="auto"/>
            <w:tcMar>
              <w:top w:w="100" w:type="dxa"/>
              <w:left w:w="100" w:type="dxa"/>
              <w:bottom w:w="100" w:type="dxa"/>
              <w:right w:w="100" w:type="dxa"/>
            </w:tcMar>
          </w:tcPr>
          <w:p w:rsidR="00923769" w:rsidRDefault="00450620">
            <w:pPr>
              <w:widowControl w:val="0"/>
              <w:pBdr>
                <w:top w:val="nil"/>
                <w:left w:val="nil"/>
                <w:bottom w:val="nil"/>
                <w:right w:val="nil"/>
                <w:between w:val="nil"/>
              </w:pBdr>
              <w:spacing w:line="240" w:lineRule="auto"/>
              <w:jc w:val="both"/>
              <w:rPr>
                <w:rFonts w:ascii="Bookman Old Style" w:eastAsia="Bookman Old Style" w:hAnsi="Bookman Old Style" w:cs="Bookman Old Style"/>
              </w:rPr>
            </w:pPr>
            <w:r>
              <w:rPr>
                <w:rFonts w:ascii="Bookman Old Style" w:eastAsia="Bookman Old Style" w:hAnsi="Bookman Old Style" w:cs="Bookman Old Style"/>
                <w:b/>
              </w:rPr>
              <w:t xml:space="preserve">Título: </w:t>
            </w:r>
            <w:r>
              <w:rPr>
                <w:rFonts w:ascii="Bookman Old Style" w:eastAsia="Bookman Old Style" w:hAnsi="Bookman Old Style" w:cs="Bookman Old Style"/>
              </w:rPr>
              <w:t>por medio del cual se establece la canasta básica de cultura en el país.</w:t>
            </w:r>
          </w:p>
        </w:tc>
        <w:tc>
          <w:tcPr>
            <w:tcW w:w="3465" w:type="dxa"/>
            <w:shd w:val="clear" w:color="auto" w:fill="auto"/>
            <w:tcMar>
              <w:top w:w="100" w:type="dxa"/>
              <w:left w:w="100" w:type="dxa"/>
              <w:bottom w:w="100" w:type="dxa"/>
              <w:right w:w="100" w:type="dxa"/>
            </w:tcMar>
          </w:tcPr>
          <w:p w:rsidR="00923769" w:rsidRDefault="00450620">
            <w:pPr>
              <w:widowControl w:val="0"/>
              <w:pBdr>
                <w:top w:val="nil"/>
                <w:left w:val="nil"/>
                <w:bottom w:val="nil"/>
                <w:right w:val="nil"/>
                <w:between w:val="nil"/>
              </w:pBdr>
              <w:spacing w:line="240" w:lineRule="auto"/>
              <w:jc w:val="both"/>
              <w:rPr>
                <w:rFonts w:ascii="Bookman Old Style" w:eastAsia="Bookman Old Style" w:hAnsi="Bookman Old Style" w:cs="Bookman Old Style"/>
                <w:b/>
              </w:rPr>
            </w:pPr>
            <w:r>
              <w:rPr>
                <w:rFonts w:ascii="Bookman Old Style" w:eastAsia="Bookman Old Style" w:hAnsi="Bookman Old Style" w:cs="Bookman Old Style"/>
                <w:b/>
              </w:rPr>
              <w:t xml:space="preserve">Título: </w:t>
            </w:r>
            <w:r>
              <w:rPr>
                <w:rFonts w:ascii="Bookman Old Style" w:eastAsia="Bookman Old Style" w:hAnsi="Bookman Old Style" w:cs="Bookman Old Style"/>
              </w:rPr>
              <w:t>por medio del cual se establece la canasta básica cultural en el país.</w:t>
            </w:r>
          </w:p>
        </w:tc>
        <w:tc>
          <w:tcPr>
            <w:tcW w:w="1995" w:type="dxa"/>
            <w:shd w:val="clear" w:color="auto" w:fill="auto"/>
            <w:tcMar>
              <w:top w:w="100" w:type="dxa"/>
              <w:left w:w="100" w:type="dxa"/>
              <w:bottom w:w="100" w:type="dxa"/>
              <w:right w:w="100" w:type="dxa"/>
            </w:tcMar>
          </w:tcPr>
          <w:p w:rsidR="00923769" w:rsidRDefault="00450620">
            <w:pPr>
              <w:widowControl w:val="0"/>
              <w:pBdr>
                <w:top w:val="nil"/>
                <w:left w:val="nil"/>
                <w:bottom w:val="nil"/>
                <w:right w:val="nil"/>
                <w:between w:val="nil"/>
              </w:pBdr>
              <w:spacing w:line="240" w:lineRule="auto"/>
              <w:rPr>
                <w:rFonts w:ascii="Bookman Old Style" w:eastAsia="Bookman Old Style" w:hAnsi="Bookman Old Style" w:cs="Bookman Old Style"/>
              </w:rPr>
            </w:pPr>
            <w:r>
              <w:rPr>
                <w:rFonts w:ascii="Bookman Old Style" w:eastAsia="Bookman Old Style" w:hAnsi="Bookman Old Style" w:cs="Bookman Old Style"/>
              </w:rPr>
              <w:t>Se acoge el texto aprobado en Senado</w:t>
            </w:r>
          </w:p>
        </w:tc>
      </w:tr>
      <w:tr w:rsidR="00923769">
        <w:tc>
          <w:tcPr>
            <w:tcW w:w="3540" w:type="dxa"/>
            <w:shd w:val="clear" w:color="auto" w:fill="auto"/>
            <w:tcMar>
              <w:top w:w="100" w:type="dxa"/>
              <w:left w:w="100" w:type="dxa"/>
              <w:bottom w:w="100" w:type="dxa"/>
              <w:right w:w="100" w:type="dxa"/>
            </w:tcMar>
          </w:tcPr>
          <w:p w:rsidR="00923769" w:rsidRDefault="00450620">
            <w:pPr>
              <w:widowControl w:val="0"/>
              <w:pBdr>
                <w:top w:val="nil"/>
                <w:left w:val="nil"/>
                <w:bottom w:val="nil"/>
                <w:right w:val="nil"/>
                <w:between w:val="nil"/>
              </w:pBdr>
              <w:spacing w:line="240" w:lineRule="auto"/>
              <w:jc w:val="both"/>
              <w:rPr>
                <w:rFonts w:ascii="Bookman Old Style" w:eastAsia="Bookman Old Style" w:hAnsi="Bookman Old Style" w:cs="Bookman Old Style"/>
              </w:rPr>
            </w:pPr>
            <w:r>
              <w:rPr>
                <w:rFonts w:ascii="Bookman Old Style" w:eastAsia="Bookman Old Style" w:hAnsi="Bookman Old Style" w:cs="Bookman Old Style"/>
                <w:b/>
              </w:rPr>
              <w:t>Artículo 1: Objeto.</w:t>
            </w:r>
            <w:r>
              <w:rPr>
                <w:rFonts w:ascii="Bookman Old Style" w:eastAsia="Bookman Old Style" w:hAnsi="Bookman Old Style" w:cs="Bookman Old Style"/>
              </w:rPr>
              <w:t xml:space="preserve"> La presente ley busca establecer la Canasta Básica de Cultura para garantizar el acceso efectivo a las ofertas culturales a través de acciones dirigidas y diferenciadas que fortalezcan </w:t>
            </w:r>
            <w:r>
              <w:rPr>
                <w:rFonts w:ascii="Bookman Old Style" w:eastAsia="Bookman Old Style" w:hAnsi="Bookman Old Style" w:cs="Bookman Old Style"/>
              </w:rPr>
              <w:lastRenderedPageBreak/>
              <w:t xml:space="preserve">la sostenibilidad de los actores culturales colombianos por medio del </w:t>
            </w:r>
            <w:r>
              <w:rPr>
                <w:rFonts w:ascii="Bookman Old Style" w:eastAsia="Bookman Old Style" w:hAnsi="Bookman Old Style" w:cs="Bookman Old Style"/>
              </w:rPr>
              <w:t>consumo local y nacional por medio de incentivos, acciones dirigidas y diferenciadas que fortalezcan el intercambio, la generación de valor, simbólico o económico, y la sostenibilidad de los actores culturales del país.</w:t>
            </w:r>
          </w:p>
        </w:tc>
        <w:tc>
          <w:tcPr>
            <w:tcW w:w="3465" w:type="dxa"/>
            <w:shd w:val="clear" w:color="auto" w:fill="auto"/>
            <w:tcMar>
              <w:top w:w="100" w:type="dxa"/>
              <w:left w:w="100" w:type="dxa"/>
              <w:bottom w:w="100" w:type="dxa"/>
              <w:right w:w="100" w:type="dxa"/>
            </w:tcMar>
          </w:tcPr>
          <w:p w:rsidR="00923769" w:rsidRDefault="00450620">
            <w:pPr>
              <w:widowControl w:val="0"/>
              <w:spacing w:after="240" w:line="240" w:lineRule="auto"/>
              <w:jc w:val="both"/>
              <w:rPr>
                <w:rFonts w:ascii="Bookman Old Style" w:eastAsia="Bookman Old Style" w:hAnsi="Bookman Old Style" w:cs="Bookman Old Style"/>
                <w:b/>
              </w:rPr>
            </w:pPr>
            <w:r>
              <w:rPr>
                <w:rFonts w:ascii="Bookman Old Style" w:eastAsia="Bookman Old Style" w:hAnsi="Bookman Old Style" w:cs="Bookman Old Style"/>
                <w:b/>
                <w:sz w:val="23"/>
                <w:szCs w:val="23"/>
              </w:rPr>
              <w:lastRenderedPageBreak/>
              <w:t xml:space="preserve">Artículo 1°. Objeto. </w:t>
            </w:r>
            <w:r>
              <w:rPr>
                <w:rFonts w:ascii="Bookman Old Style" w:eastAsia="Bookman Old Style" w:hAnsi="Bookman Old Style" w:cs="Bookman Old Style"/>
              </w:rPr>
              <w:t>La presente ley</w:t>
            </w:r>
            <w:r>
              <w:rPr>
                <w:rFonts w:ascii="Bookman Old Style" w:eastAsia="Bookman Old Style" w:hAnsi="Bookman Old Style" w:cs="Bookman Old Style"/>
              </w:rPr>
              <w:t xml:space="preserve"> busca establecer la Canasta Básica Cultural para garantizar el acceso efectivo a las ofertas culturales y las artes, a través de acciones dirigidas y </w:t>
            </w:r>
            <w:r>
              <w:rPr>
                <w:rFonts w:ascii="Bookman Old Style" w:eastAsia="Bookman Old Style" w:hAnsi="Bookman Old Style" w:cs="Bookman Old Style"/>
              </w:rPr>
              <w:lastRenderedPageBreak/>
              <w:t xml:space="preserve">diferenciadas que fortalezcan la educación cultural, el cierre de brechas culturales, la participación y </w:t>
            </w:r>
            <w:r>
              <w:rPr>
                <w:rFonts w:ascii="Bookman Old Style" w:eastAsia="Bookman Old Style" w:hAnsi="Bookman Old Style" w:cs="Bookman Old Style"/>
              </w:rPr>
              <w:t>acceso a los bienes y servicios culturales, en igualdad de oportunidades y con enfoque diferencial, la contribución a la sostenibilidad de los actores culturales colombianos por medio del consumo local y nacional, a través de incentivos, acciones dirigidas</w:t>
            </w:r>
            <w:r>
              <w:rPr>
                <w:rFonts w:ascii="Bookman Old Style" w:eastAsia="Bookman Old Style" w:hAnsi="Bookman Old Style" w:cs="Bookman Old Style"/>
              </w:rPr>
              <w:t xml:space="preserve"> y diferenciadas que fortalezcan el intercambio, la generación de valor, simbólico o económico, y la sostenibilidad de los actores culturales del país, como una política pública en materia cultural y en el marco del Sistema Nacional de Cultura</w:t>
            </w:r>
            <w:r>
              <w:rPr>
                <w:rFonts w:ascii="Bookman Old Style" w:eastAsia="Bookman Old Style" w:hAnsi="Bookman Old Style" w:cs="Bookman Old Style"/>
                <w:b/>
                <w:sz w:val="23"/>
                <w:szCs w:val="23"/>
              </w:rPr>
              <w:t>.</w:t>
            </w:r>
            <w:r>
              <w:rPr>
                <w:b/>
                <w:sz w:val="23"/>
                <w:szCs w:val="23"/>
              </w:rPr>
              <w:t xml:space="preserve"> </w:t>
            </w:r>
          </w:p>
        </w:tc>
        <w:tc>
          <w:tcPr>
            <w:tcW w:w="1995" w:type="dxa"/>
            <w:shd w:val="clear" w:color="auto" w:fill="auto"/>
            <w:tcMar>
              <w:top w:w="100" w:type="dxa"/>
              <w:left w:w="100" w:type="dxa"/>
              <w:bottom w:w="100" w:type="dxa"/>
              <w:right w:w="100" w:type="dxa"/>
            </w:tcMar>
          </w:tcPr>
          <w:p w:rsidR="00923769" w:rsidRDefault="00450620">
            <w:pPr>
              <w:widowControl w:val="0"/>
              <w:spacing w:line="240" w:lineRule="auto"/>
              <w:rPr>
                <w:rFonts w:ascii="Bookman Old Style" w:eastAsia="Bookman Old Style" w:hAnsi="Bookman Old Style" w:cs="Bookman Old Style"/>
                <w:b/>
              </w:rPr>
            </w:pPr>
            <w:r>
              <w:rPr>
                <w:rFonts w:ascii="Bookman Old Style" w:eastAsia="Bookman Old Style" w:hAnsi="Bookman Old Style" w:cs="Bookman Old Style"/>
              </w:rPr>
              <w:lastRenderedPageBreak/>
              <w:t xml:space="preserve">Se acoge el texto aprobado en Cámara </w:t>
            </w:r>
          </w:p>
        </w:tc>
      </w:tr>
      <w:tr w:rsidR="00923769">
        <w:tc>
          <w:tcPr>
            <w:tcW w:w="3540" w:type="dxa"/>
            <w:shd w:val="clear" w:color="auto" w:fill="auto"/>
            <w:tcMar>
              <w:top w:w="100" w:type="dxa"/>
              <w:left w:w="100" w:type="dxa"/>
              <w:bottom w:w="100" w:type="dxa"/>
              <w:right w:w="100" w:type="dxa"/>
            </w:tcMar>
          </w:tcPr>
          <w:p w:rsidR="00923769" w:rsidRDefault="00450620">
            <w:pPr>
              <w:widowControl w:val="0"/>
              <w:pBdr>
                <w:top w:val="nil"/>
                <w:left w:val="nil"/>
                <w:bottom w:val="nil"/>
                <w:right w:val="nil"/>
                <w:between w:val="nil"/>
              </w:pBdr>
              <w:spacing w:line="240" w:lineRule="auto"/>
              <w:jc w:val="both"/>
              <w:rPr>
                <w:rFonts w:ascii="Bookman Old Style" w:eastAsia="Bookman Old Style" w:hAnsi="Bookman Old Style" w:cs="Bookman Old Style"/>
              </w:rPr>
            </w:pPr>
            <w:r>
              <w:rPr>
                <w:rFonts w:ascii="Bookman Old Style" w:eastAsia="Bookman Old Style" w:hAnsi="Bookman Old Style" w:cs="Bookman Old Style"/>
                <w:b/>
              </w:rPr>
              <w:t>Artículo 2°</w:t>
            </w:r>
            <w:r>
              <w:rPr>
                <w:rFonts w:ascii="Bookman Old Style" w:eastAsia="Bookman Old Style" w:hAnsi="Bookman Old Style" w:cs="Bookman Old Style"/>
              </w:rPr>
              <w:t xml:space="preserve">. </w:t>
            </w:r>
            <w:r>
              <w:rPr>
                <w:rFonts w:ascii="Bookman Old Style" w:eastAsia="Bookman Old Style" w:hAnsi="Bookman Old Style" w:cs="Bookman Old Style"/>
                <w:b/>
              </w:rPr>
              <w:t>Ámbito de aplicación.</w:t>
            </w:r>
            <w:r>
              <w:rPr>
                <w:rFonts w:ascii="Bookman Old Style" w:eastAsia="Bookman Old Style" w:hAnsi="Bookman Old Style" w:cs="Bookman Old Style"/>
              </w:rPr>
              <w:t xml:space="preserve"> La presente ley será aplicada a las personas con nacionalidad colombiana.</w:t>
            </w:r>
          </w:p>
        </w:tc>
        <w:tc>
          <w:tcPr>
            <w:tcW w:w="3465" w:type="dxa"/>
            <w:shd w:val="clear" w:color="auto" w:fill="auto"/>
            <w:tcMar>
              <w:top w:w="100" w:type="dxa"/>
              <w:left w:w="100" w:type="dxa"/>
              <w:bottom w:w="100" w:type="dxa"/>
              <w:right w:w="100" w:type="dxa"/>
            </w:tcMar>
          </w:tcPr>
          <w:p w:rsidR="00923769" w:rsidRDefault="00450620">
            <w:pPr>
              <w:widowControl w:val="0"/>
              <w:pBdr>
                <w:top w:val="nil"/>
                <w:left w:val="nil"/>
                <w:bottom w:val="nil"/>
                <w:right w:val="nil"/>
                <w:between w:val="nil"/>
              </w:pBdr>
              <w:spacing w:line="240" w:lineRule="auto"/>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2°. Ámbito de aplicación. </w:t>
            </w:r>
            <w:r>
              <w:rPr>
                <w:rFonts w:ascii="Bookman Old Style" w:eastAsia="Bookman Old Style" w:hAnsi="Bookman Old Style" w:cs="Bookman Old Style"/>
              </w:rPr>
              <w:t>La presente ley será aplicada a las personas con nacionalidad colombiana,</w:t>
            </w:r>
            <w:r>
              <w:rPr>
                <w:rFonts w:ascii="Bookman Old Style" w:eastAsia="Bookman Old Style" w:hAnsi="Bookman Old Style" w:cs="Bookman Old Style"/>
              </w:rPr>
              <w:t xml:space="preserve"> especialmente a las que, por razón de su condición socioeconómica o del territorio, no le resulte de fácil acceso la oferta cultural.</w:t>
            </w:r>
          </w:p>
        </w:tc>
        <w:tc>
          <w:tcPr>
            <w:tcW w:w="1995" w:type="dxa"/>
            <w:shd w:val="clear" w:color="auto" w:fill="auto"/>
            <w:tcMar>
              <w:top w:w="100" w:type="dxa"/>
              <w:left w:w="100" w:type="dxa"/>
              <w:bottom w:w="100" w:type="dxa"/>
              <w:right w:w="100" w:type="dxa"/>
            </w:tcMar>
          </w:tcPr>
          <w:p w:rsidR="00923769" w:rsidRDefault="00450620">
            <w:pPr>
              <w:widowControl w:val="0"/>
              <w:spacing w:line="240" w:lineRule="auto"/>
              <w:rPr>
                <w:rFonts w:ascii="Bookman Old Style" w:eastAsia="Bookman Old Style" w:hAnsi="Bookman Old Style" w:cs="Bookman Old Style"/>
                <w:b/>
              </w:rPr>
            </w:pPr>
            <w:r>
              <w:rPr>
                <w:rFonts w:ascii="Bookman Old Style" w:eastAsia="Bookman Old Style" w:hAnsi="Bookman Old Style" w:cs="Bookman Old Style"/>
              </w:rPr>
              <w:t>Se acoge el texto aprobado en Senado</w:t>
            </w:r>
          </w:p>
        </w:tc>
      </w:tr>
      <w:tr w:rsidR="00923769">
        <w:tc>
          <w:tcPr>
            <w:tcW w:w="3540" w:type="dxa"/>
            <w:shd w:val="clear" w:color="auto" w:fill="auto"/>
            <w:tcMar>
              <w:top w:w="100" w:type="dxa"/>
              <w:left w:w="100" w:type="dxa"/>
              <w:bottom w:w="100" w:type="dxa"/>
              <w:right w:w="100" w:type="dxa"/>
            </w:tcMar>
          </w:tcPr>
          <w:p w:rsidR="00923769" w:rsidRDefault="00450620">
            <w:pPr>
              <w:widowControl w:val="0"/>
              <w:pBdr>
                <w:top w:val="nil"/>
                <w:left w:val="nil"/>
                <w:bottom w:val="nil"/>
                <w:right w:val="nil"/>
                <w:between w:val="nil"/>
              </w:pBdr>
              <w:spacing w:line="240" w:lineRule="auto"/>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3°. Definiciones. </w:t>
            </w:r>
            <w:r>
              <w:rPr>
                <w:rFonts w:ascii="Bookman Old Style" w:eastAsia="Bookman Old Style" w:hAnsi="Bookman Old Style" w:cs="Bookman Old Style"/>
              </w:rPr>
              <w:t xml:space="preserve">La presente ley se interpretará a la luz de las siguientes definiciones. </w:t>
            </w:r>
            <w:r>
              <w:rPr>
                <w:rFonts w:ascii="Bookman Old Style" w:eastAsia="Bookman Old Style" w:hAnsi="Bookman Old Style" w:cs="Bookman Old Style"/>
              </w:rPr>
              <w:br/>
            </w:r>
            <w:r>
              <w:rPr>
                <w:rFonts w:ascii="Bookman Old Style" w:eastAsia="Bookman Old Style" w:hAnsi="Bookman Old Style" w:cs="Bookman Old Style"/>
              </w:rPr>
              <w:br/>
              <w:t>1. Derechos culturales. Son aquellos que hacen referencia a la identidad y diversidad cultural, al derecho a participar de la cultura, a la educación cultural, a la creación y gesti</w:t>
            </w:r>
            <w:r>
              <w:rPr>
                <w:rFonts w:ascii="Bookman Old Style" w:eastAsia="Bookman Old Style" w:hAnsi="Bookman Old Style" w:cs="Bookman Old Style"/>
              </w:rPr>
              <w:t xml:space="preserve">ón cultural, la información y la cooperación cultural. </w:t>
            </w:r>
            <w:r>
              <w:rPr>
                <w:rFonts w:ascii="Bookman Old Style" w:eastAsia="Bookman Old Style" w:hAnsi="Bookman Old Style" w:cs="Bookman Old Style"/>
              </w:rPr>
              <w:br/>
            </w:r>
            <w:r>
              <w:rPr>
                <w:rFonts w:ascii="Bookman Old Style" w:eastAsia="Bookman Old Style" w:hAnsi="Bookman Old Style" w:cs="Bookman Old Style"/>
              </w:rPr>
              <w:br/>
              <w:t xml:space="preserve">2. Canasta Básica de Cultura. Son los productos y servicios artísticos y culturales, característicos de la vida en </w:t>
            </w:r>
            <w:r>
              <w:rPr>
                <w:rFonts w:ascii="Bookman Old Style" w:eastAsia="Bookman Old Style" w:hAnsi="Bookman Old Style" w:cs="Bookman Old Style"/>
              </w:rPr>
              <w:lastRenderedPageBreak/>
              <w:t>sociedad, por lo que su práctica, conocimiento y disfrute son considerados esenciale</w:t>
            </w:r>
            <w:r>
              <w:rPr>
                <w:rFonts w:ascii="Bookman Old Style" w:eastAsia="Bookman Old Style" w:hAnsi="Bookman Old Style" w:cs="Bookman Old Style"/>
              </w:rPr>
              <w:t>s por parte de toda la población, en particular, pero no exclusivamente, a través de la asistencia a eventos, presentaciones, espectáculos públicos, espacios culturales y no convencionales; la asistencia a cine, circo y artes escénicas; la lectura de produ</w:t>
            </w:r>
            <w:r>
              <w:rPr>
                <w:rFonts w:ascii="Bookman Old Style" w:eastAsia="Bookman Old Style" w:hAnsi="Bookman Old Style" w:cs="Bookman Old Style"/>
              </w:rPr>
              <w:t xml:space="preserve">ctos editoriales impresos y digitales; la formación, y prácticas culturales. </w:t>
            </w:r>
            <w:r>
              <w:rPr>
                <w:rFonts w:ascii="Bookman Old Style" w:eastAsia="Bookman Old Style" w:hAnsi="Bookman Old Style" w:cs="Bookman Old Style"/>
              </w:rPr>
              <w:br/>
            </w:r>
            <w:r>
              <w:rPr>
                <w:rFonts w:ascii="Bookman Old Style" w:eastAsia="Bookman Old Style" w:hAnsi="Bookman Old Style" w:cs="Bookman Old Style"/>
              </w:rPr>
              <w:br/>
              <w:t>3. Consumo cultural. Conjunto de prácticas realizadas por los individuos para el acceso, disfrute, apropiación y uso de bienes, servicios y espacios culturales.</w:t>
            </w:r>
            <w:r>
              <w:rPr>
                <w:rFonts w:ascii="Bookman Old Style" w:eastAsia="Bookman Old Style" w:hAnsi="Bookman Old Style" w:cs="Bookman Old Style"/>
              </w:rPr>
              <w:br/>
            </w:r>
            <w:r>
              <w:rPr>
                <w:rFonts w:ascii="Bookman Old Style" w:eastAsia="Bookman Old Style" w:hAnsi="Bookman Old Style" w:cs="Bookman Old Style"/>
              </w:rPr>
              <w:br/>
              <w:t>4.Espacios cult</w:t>
            </w:r>
            <w:r>
              <w:rPr>
                <w:rFonts w:ascii="Bookman Old Style" w:eastAsia="Bookman Old Style" w:hAnsi="Bookman Old Style" w:cs="Bookman Old Style"/>
              </w:rPr>
              <w:t>urales. Infraestructuras físicas que tienen como principal objetivo servir de escenario para el desarrollo de múltiples actividades y prácticas culturales, que faciliten el acceso a diversos bienes y servicios culturales por parte de la población en genera</w:t>
            </w:r>
            <w:r>
              <w:rPr>
                <w:rFonts w:ascii="Bookman Old Style" w:eastAsia="Bookman Old Style" w:hAnsi="Bookman Old Style" w:cs="Bookman Old Style"/>
              </w:rPr>
              <w:t>l. Es el caso, entre otros, el espacio público, de las bibliotecas, las casas de cultura, los museos, las galerías de arte y salas de exposición, los centros históricos o de memoria histórica, archivos, instituciones educativas y bienes de interés cultural</w:t>
            </w:r>
            <w:r>
              <w:rPr>
                <w:rFonts w:ascii="Bookman Old Style" w:eastAsia="Bookman Old Style" w:hAnsi="Bookman Old Style" w:cs="Bookman Old Style"/>
              </w:rPr>
              <w:t xml:space="preserve">. </w:t>
            </w:r>
            <w:r>
              <w:rPr>
                <w:rFonts w:ascii="Bookman Old Style" w:eastAsia="Bookman Old Style" w:hAnsi="Bookman Old Style" w:cs="Bookman Old Style"/>
              </w:rPr>
              <w:br/>
            </w:r>
            <w:r>
              <w:rPr>
                <w:rFonts w:ascii="Bookman Old Style" w:eastAsia="Bookman Old Style" w:hAnsi="Bookman Old Style" w:cs="Bookman Old Style"/>
              </w:rPr>
              <w:br/>
              <w:t>5. Formación y gestión de audiencias. Son las iniciativas educativas dirigidas a la formación que se da desde la primera infancia para la comprensión, el disfrute y la apropiación de las diferentes expresiones artísticas y culturales. La formación de p</w:t>
            </w:r>
            <w:r>
              <w:rPr>
                <w:rFonts w:ascii="Bookman Old Style" w:eastAsia="Bookman Old Style" w:hAnsi="Bookman Old Style" w:cs="Bookman Old Style"/>
              </w:rPr>
              <w:t xml:space="preserve">úblicos se extiende a lo largo </w:t>
            </w:r>
            <w:r>
              <w:rPr>
                <w:rFonts w:ascii="Bookman Old Style" w:eastAsia="Bookman Old Style" w:hAnsi="Bookman Old Style" w:cs="Bookman Old Style"/>
              </w:rPr>
              <w:lastRenderedPageBreak/>
              <w:t>de la vida del individuo, pero es prioritaria, con obligación a cargo del Estado, en la infancia y la adolescencia.</w:t>
            </w:r>
            <w:r>
              <w:rPr>
                <w:rFonts w:ascii="Bookman Old Style" w:eastAsia="Bookman Old Style" w:hAnsi="Bookman Old Style" w:cs="Bookman Old Style"/>
              </w:rPr>
              <w:br/>
            </w:r>
            <w:r>
              <w:rPr>
                <w:rFonts w:ascii="Bookman Old Style" w:eastAsia="Bookman Old Style" w:hAnsi="Bookman Old Style" w:cs="Bookman Old Style"/>
              </w:rPr>
              <w:br/>
              <w:t>6. Divulgación cultural. Son todas las acciones de promoción de la oferta artística y cultural a través de c</w:t>
            </w:r>
            <w:r>
              <w:rPr>
                <w:rFonts w:ascii="Bookman Old Style" w:eastAsia="Bookman Old Style" w:hAnsi="Bookman Old Style" w:cs="Bookman Old Style"/>
              </w:rPr>
              <w:t>ualquier medio, canal o plataforma de comunicación existente o por existir.</w:t>
            </w:r>
            <w:r>
              <w:rPr>
                <w:rFonts w:ascii="Bookman Old Style" w:eastAsia="Bookman Old Style" w:hAnsi="Bookman Old Style" w:cs="Bookman Old Style"/>
              </w:rPr>
              <w:br/>
            </w:r>
            <w:r>
              <w:rPr>
                <w:rFonts w:ascii="Bookman Old Style" w:eastAsia="Bookman Old Style" w:hAnsi="Bookman Old Style" w:cs="Bookman Old Style"/>
              </w:rPr>
              <w:br/>
              <w:t>7. Espacios no convencionales. Espacios que descentralizan las prácticas de las artes escénicas y contribuyen a la pluralidad de las artes y la cultura, a través de una infraestru</w:t>
            </w:r>
            <w:r>
              <w:rPr>
                <w:rFonts w:ascii="Bookman Old Style" w:eastAsia="Bookman Old Style" w:hAnsi="Bookman Old Style" w:cs="Bookman Old Style"/>
              </w:rPr>
              <w:t xml:space="preserve">ctura que no plantea una clara distinción entre el lugar dispuesto para el público y el escenario como ocurre en los espacios tradicionales que cuentan con proscenio y tras escena. Estos equipamientos se caracterizan por permitir modificaciones espaciales </w:t>
            </w:r>
            <w:r>
              <w:rPr>
                <w:rFonts w:ascii="Bookman Old Style" w:eastAsia="Bookman Old Style" w:hAnsi="Bookman Old Style" w:cs="Bookman Old Style"/>
              </w:rPr>
              <w:t>en la sala, mediante infraestructura y tecnología específica para habilitar diferentes acomodaciones del público, itinerar en la sala y permitir la presentación de diversos lenguajes, formatos y géneros de las artes escénicas</w:t>
            </w:r>
          </w:p>
        </w:tc>
        <w:tc>
          <w:tcPr>
            <w:tcW w:w="3465" w:type="dxa"/>
            <w:shd w:val="clear" w:color="auto" w:fill="auto"/>
            <w:tcMar>
              <w:top w:w="100" w:type="dxa"/>
              <w:left w:w="100" w:type="dxa"/>
              <w:bottom w:w="100" w:type="dxa"/>
              <w:right w:w="100" w:type="dxa"/>
            </w:tcMar>
          </w:tcPr>
          <w:p w:rsidR="00923769" w:rsidRDefault="00450620">
            <w:pPr>
              <w:widowControl w:val="0"/>
              <w:spacing w:line="240" w:lineRule="auto"/>
              <w:jc w:val="both"/>
              <w:rPr>
                <w:rFonts w:ascii="Bookman Old Style" w:eastAsia="Bookman Old Style" w:hAnsi="Bookman Old Style" w:cs="Bookman Old Style"/>
              </w:rPr>
            </w:pPr>
            <w:r>
              <w:rPr>
                <w:rFonts w:ascii="Bookman Old Style" w:eastAsia="Bookman Old Style" w:hAnsi="Bookman Old Style" w:cs="Bookman Old Style"/>
                <w:b/>
                <w:sz w:val="23"/>
                <w:szCs w:val="23"/>
              </w:rPr>
              <w:lastRenderedPageBreak/>
              <w:t>Artículo 3°. Definiciones</w:t>
            </w:r>
            <w:r>
              <w:rPr>
                <w:b/>
                <w:sz w:val="23"/>
                <w:szCs w:val="23"/>
              </w:rPr>
              <w:t xml:space="preserve">. </w:t>
            </w:r>
            <w:r>
              <w:rPr>
                <w:rFonts w:ascii="Bookman Old Style" w:eastAsia="Bookman Old Style" w:hAnsi="Bookman Old Style" w:cs="Bookman Old Style"/>
              </w:rPr>
              <w:t xml:space="preserve">La </w:t>
            </w:r>
            <w:r>
              <w:rPr>
                <w:rFonts w:ascii="Bookman Old Style" w:eastAsia="Bookman Old Style" w:hAnsi="Bookman Old Style" w:cs="Bookman Old Style"/>
              </w:rPr>
              <w:t xml:space="preserve">presente ley se interpretará a la luz de las siguientes definiciones. </w:t>
            </w:r>
          </w:p>
          <w:p w:rsidR="00923769" w:rsidRDefault="00923769">
            <w:pPr>
              <w:widowControl w:val="0"/>
              <w:spacing w:line="240" w:lineRule="auto"/>
              <w:jc w:val="both"/>
              <w:rPr>
                <w:rFonts w:ascii="Bookman Old Style" w:eastAsia="Bookman Old Style" w:hAnsi="Bookman Old Style" w:cs="Bookman Old Style"/>
              </w:rPr>
            </w:pPr>
          </w:p>
          <w:p w:rsidR="00923769" w:rsidRDefault="00450620">
            <w:pPr>
              <w:widowControl w:val="0"/>
              <w:spacing w:line="24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1. Derechos culturales. Son aquellos que hacen referencia a la identidad y diversidad cultural, al derecho a participar de la cultura, a la educación cultural, a la creación y gestión </w:t>
            </w:r>
            <w:r>
              <w:rPr>
                <w:rFonts w:ascii="Bookman Old Style" w:eastAsia="Bookman Old Style" w:hAnsi="Bookman Old Style" w:cs="Bookman Old Style"/>
              </w:rPr>
              <w:t xml:space="preserve">cultural, la información y la cooperación cultural. </w:t>
            </w:r>
          </w:p>
          <w:p w:rsidR="00923769" w:rsidRDefault="00450620">
            <w:pPr>
              <w:widowControl w:val="0"/>
              <w:spacing w:line="24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 </w:t>
            </w:r>
          </w:p>
          <w:p w:rsidR="00923769" w:rsidRDefault="00450620">
            <w:pPr>
              <w:widowControl w:val="0"/>
              <w:spacing w:line="24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2. Canasta Básica Cultural. Hace referencia a los diversos mecanismos destinados a generar acceso cultural a </w:t>
            </w:r>
            <w:r>
              <w:rPr>
                <w:rFonts w:ascii="Bookman Old Style" w:eastAsia="Bookman Old Style" w:hAnsi="Bookman Old Style" w:cs="Bookman Old Style"/>
              </w:rPr>
              <w:lastRenderedPageBreak/>
              <w:t>través de un conjunto de medios tales como: instrumentos, beneficios, bienes y servicios edu</w:t>
            </w:r>
            <w:r>
              <w:rPr>
                <w:rFonts w:ascii="Bookman Old Style" w:eastAsia="Bookman Old Style" w:hAnsi="Bookman Old Style" w:cs="Bookman Old Style"/>
              </w:rPr>
              <w:t>cativos, artísticos y culturales existentes e innovadores, que buscan garantizar el ejercicio efectivo de la vida cultural en toda la población, en particular, pero no exclusivamente a través de la asistencia a eventos, presentaciones, espectáculos y espac</w:t>
            </w:r>
            <w:r>
              <w:rPr>
                <w:rFonts w:ascii="Bookman Old Style" w:eastAsia="Bookman Old Style" w:hAnsi="Bookman Old Style" w:cs="Bookman Old Style"/>
              </w:rPr>
              <w:t>ios culturales; la asistencia a cine; teatro, museos y exposiciones, la lectura de productos editoriales impresos y digitales; la formación, y el ejercicio de las prácticas culturales.</w:t>
            </w:r>
          </w:p>
          <w:p w:rsidR="00923769" w:rsidRDefault="00923769">
            <w:pPr>
              <w:widowControl w:val="0"/>
              <w:spacing w:line="240" w:lineRule="auto"/>
              <w:jc w:val="both"/>
              <w:rPr>
                <w:rFonts w:ascii="Bookman Old Style" w:eastAsia="Bookman Old Style" w:hAnsi="Bookman Old Style" w:cs="Bookman Old Style"/>
              </w:rPr>
            </w:pPr>
          </w:p>
          <w:p w:rsidR="00923769" w:rsidRDefault="00450620">
            <w:pPr>
              <w:widowControl w:val="0"/>
              <w:spacing w:line="240" w:lineRule="auto"/>
              <w:jc w:val="both"/>
              <w:rPr>
                <w:rFonts w:ascii="Bookman Old Style" w:eastAsia="Bookman Old Style" w:hAnsi="Bookman Old Style" w:cs="Bookman Old Style"/>
              </w:rPr>
            </w:pPr>
            <w:r>
              <w:rPr>
                <w:rFonts w:ascii="Bookman Old Style" w:eastAsia="Bookman Old Style" w:hAnsi="Bookman Old Style" w:cs="Bookman Old Style"/>
              </w:rPr>
              <w:t>3. Consumo cultural. Conjunto de prácticas realizadas por los individu</w:t>
            </w:r>
            <w:r>
              <w:rPr>
                <w:rFonts w:ascii="Bookman Old Style" w:eastAsia="Bookman Old Style" w:hAnsi="Bookman Old Style" w:cs="Bookman Old Style"/>
              </w:rPr>
              <w:t xml:space="preserve">os para el acceso, disfrute, apropiación y uso de bienes, servicios y espacios culturales. </w:t>
            </w:r>
          </w:p>
          <w:p w:rsidR="00923769" w:rsidRDefault="00923769">
            <w:pPr>
              <w:widowControl w:val="0"/>
              <w:spacing w:line="240" w:lineRule="auto"/>
              <w:jc w:val="both"/>
              <w:rPr>
                <w:rFonts w:ascii="Bookman Old Style" w:eastAsia="Bookman Old Style" w:hAnsi="Bookman Old Style" w:cs="Bookman Old Style"/>
              </w:rPr>
            </w:pPr>
          </w:p>
          <w:p w:rsidR="00923769" w:rsidRDefault="00450620">
            <w:pPr>
              <w:widowControl w:val="0"/>
              <w:spacing w:line="240" w:lineRule="auto"/>
              <w:jc w:val="both"/>
              <w:rPr>
                <w:rFonts w:ascii="Bookman Old Style" w:eastAsia="Bookman Old Style" w:hAnsi="Bookman Old Style" w:cs="Bookman Old Style"/>
              </w:rPr>
            </w:pPr>
            <w:r>
              <w:rPr>
                <w:rFonts w:ascii="Bookman Old Style" w:eastAsia="Bookman Old Style" w:hAnsi="Bookman Old Style" w:cs="Bookman Old Style"/>
              </w:rPr>
              <w:t>4. Espacios culturales. Infraestructuras físicas que tienen como principal objetivo servir de escenario para el desarrollo de múltiples actividades y prácticas culturales, que faciliten el acceso a diversos bienes y servicios culturales por parte de la pob</w:t>
            </w:r>
            <w:r>
              <w:rPr>
                <w:rFonts w:ascii="Bookman Old Style" w:eastAsia="Bookman Old Style" w:hAnsi="Bookman Old Style" w:cs="Bookman Old Style"/>
              </w:rPr>
              <w:t>lación en general. Es el caso, entre otros, del espacio público, de las bibliotecas, las casas de cultura, los museos, las galerías de arte y salas de exposición, los centros históricos o de memoria histórica, archivos, instituciones educativas y bienes de</w:t>
            </w:r>
            <w:r>
              <w:rPr>
                <w:rFonts w:ascii="Bookman Old Style" w:eastAsia="Bookman Old Style" w:hAnsi="Bookman Old Style" w:cs="Bookman Old Style"/>
              </w:rPr>
              <w:t xml:space="preserve"> interés cultural. </w:t>
            </w:r>
          </w:p>
          <w:p w:rsidR="00923769" w:rsidRDefault="00923769">
            <w:pPr>
              <w:widowControl w:val="0"/>
              <w:spacing w:line="240" w:lineRule="auto"/>
              <w:jc w:val="both"/>
              <w:rPr>
                <w:rFonts w:ascii="Bookman Old Style" w:eastAsia="Bookman Old Style" w:hAnsi="Bookman Old Style" w:cs="Bookman Old Style"/>
              </w:rPr>
            </w:pPr>
          </w:p>
          <w:p w:rsidR="00923769" w:rsidRDefault="00450620">
            <w:pPr>
              <w:widowControl w:val="0"/>
              <w:spacing w:line="24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5. Formación y gestión de audiencias. Son las iniciativas pedagógicas dirigidas a la </w:t>
            </w:r>
            <w:r>
              <w:rPr>
                <w:rFonts w:ascii="Bookman Old Style" w:eastAsia="Bookman Old Style" w:hAnsi="Bookman Old Style" w:cs="Bookman Old Style"/>
              </w:rPr>
              <w:lastRenderedPageBreak/>
              <w:t>formación que se da desde la primera infancia para la comprensión, el disfrute y la apropiación de las diferentes expresiones artísticas y culturales.</w:t>
            </w:r>
            <w:r>
              <w:rPr>
                <w:rFonts w:ascii="Bookman Old Style" w:eastAsia="Bookman Old Style" w:hAnsi="Bookman Old Style" w:cs="Bookman Old Style"/>
              </w:rPr>
              <w:t xml:space="preserve"> La formación de públicos se extiende a lo largo de la vida del individuo, pero es prioritaria, con obligación a cargo del Estado, en la infancia y la adolescencia. </w:t>
            </w:r>
          </w:p>
          <w:p w:rsidR="00923769" w:rsidRDefault="00923769">
            <w:pPr>
              <w:widowControl w:val="0"/>
              <w:spacing w:line="240" w:lineRule="auto"/>
              <w:jc w:val="both"/>
              <w:rPr>
                <w:rFonts w:ascii="Bookman Old Style" w:eastAsia="Bookman Old Style" w:hAnsi="Bookman Old Style" w:cs="Bookman Old Style"/>
              </w:rPr>
            </w:pPr>
          </w:p>
          <w:p w:rsidR="00923769" w:rsidRDefault="00450620">
            <w:pPr>
              <w:widowControl w:val="0"/>
              <w:spacing w:line="240" w:lineRule="auto"/>
              <w:jc w:val="both"/>
              <w:rPr>
                <w:rFonts w:ascii="Bookman Old Style" w:eastAsia="Bookman Old Style" w:hAnsi="Bookman Old Style" w:cs="Bookman Old Style"/>
              </w:rPr>
            </w:pPr>
            <w:r>
              <w:rPr>
                <w:rFonts w:ascii="Bookman Old Style" w:eastAsia="Bookman Old Style" w:hAnsi="Bookman Old Style" w:cs="Bookman Old Style"/>
              </w:rPr>
              <w:t>6. Divulgación cultural. Son todas las acciones de promoción de la oferta artística y cul</w:t>
            </w:r>
            <w:r>
              <w:rPr>
                <w:rFonts w:ascii="Bookman Old Style" w:eastAsia="Bookman Old Style" w:hAnsi="Bookman Old Style" w:cs="Bookman Old Style"/>
              </w:rPr>
              <w:t xml:space="preserve">tural a través de cualquier medio, canal o plataforma de comunicación existente o por existir. </w:t>
            </w:r>
          </w:p>
          <w:p w:rsidR="00923769" w:rsidRDefault="00923769">
            <w:pPr>
              <w:widowControl w:val="0"/>
              <w:spacing w:line="240" w:lineRule="auto"/>
              <w:jc w:val="both"/>
              <w:rPr>
                <w:rFonts w:ascii="Bookman Old Style" w:eastAsia="Bookman Old Style" w:hAnsi="Bookman Old Style" w:cs="Bookman Old Style"/>
              </w:rPr>
            </w:pPr>
          </w:p>
          <w:p w:rsidR="00923769" w:rsidRDefault="00450620">
            <w:pPr>
              <w:widowControl w:val="0"/>
              <w:spacing w:line="240" w:lineRule="auto"/>
              <w:jc w:val="both"/>
              <w:rPr>
                <w:rFonts w:ascii="Bookman Old Style" w:eastAsia="Bookman Old Style" w:hAnsi="Bookman Old Style" w:cs="Bookman Old Style"/>
              </w:rPr>
            </w:pPr>
            <w:r>
              <w:rPr>
                <w:rFonts w:ascii="Bookman Old Style" w:eastAsia="Bookman Old Style" w:hAnsi="Bookman Old Style" w:cs="Bookman Old Style"/>
              </w:rPr>
              <w:t>7. Espacios no convencionales. Espacios que descentralizan las prácticas de las artes escénicas y contribuyen a la pluralidad de las artes y la cultura, a trav</w:t>
            </w:r>
            <w:r>
              <w:rPr>
                <w:rFonts w:ascii="Bookman Old Style" w:eastAsia="Bookman Old Style" w:hAnsi="Bookman Old Style" w:cs="Bookman Old Style"/>
              </w:rPr>
              <w:t>és de una infraestructura que no plantea una clara distinción entre el lugar dispuesto para el público y el escenario, como ocurre en los espacios tradicionales que cuentan con proscenio y tras escena. Estos equipamientos se caracterizan por permitir modif</w:t>
            </w:r>
            <w:r>
              <w:rPr>
                <w:rFonts w:ascii="Bookman Old Style" w:eastAsia="Bookman Old Style" w:hAnsi="Bookman Old Style" w:cs="Bookman Old Style"/>
              </w:rPr>
              <w:t xml:space="preserve">icaciones espaciales en la sala, mediante infraestructura y tecnología específica para habilitar diferentes acomodaciones del público, itinerar en la sala y permitir la presentación de diversos lenguajes, formatos y géneros de las artes escénicas. </w:t>
            </w:r>
          </w:p>
          <w:p w:rsidR="00923769" w:rsidRDefault="00923769">
            <w:pPr>
              <w:widowControl w:val="0"/>
              <w:pBdr>
                <w:top w:val="nil"/>
                <w:left w:val="nil"/>
                <w:bottom w:val="nil"/>
                <w:right w:val="nil"/>
                <w:between w:val="nil"/>
              </w:pBdr>
              <w:spacing w:line="240" w:lineRule="auto"/>
              <w:jc w:val="both"/>
              <w:rPr>
                <w:rFonts w:ascii="Bookman Old Style" w:eastAsia="Bookman Old Style" w:hAnsi="Bookman Old Style" w:cs="Bookman Old Style"/>
                <w:b/>
              </w:rPr>
            </w:pPr>
          </w:p>
        </w:tc>
        <w:tc>
          <w:tcPr>
            <w:tcW w:w="1995" w:type="dxa"/>
            <w:shd w:val="clear" w:color="auto" w:fill="auto"/>
            <w:tcMar>
              <w:top w:w="100" w:type="dxa"/>
              <w:left w:w="100" w:type="dxa"/>
              <w:bottom w:w="100" w:type="dxa"/>
              <w:right w:w="100" w:type="dxa"/>
            </w:tcMar>
          </w:tcPr>
          <w:p w:rsidR="00923769" w:rsidRDefault="00450620">
            <w:pPr>
              <w:widowControl w:val="0"/>
              <w:spacing w:line="240" w:lineRule="auto"/>
              <w:rPr>
                <w:rFonts w:ascii="Bookman Old Style" w:eastAsia="Bookman Old Style" w:hAnsi="Bookman Old Style" w:cs="Bookman Old Style"/>
                <w:b/>
              </w:rPr>
            </w:pPr>
            <w:r>
              <w:rPr>
                <w:rFonts w:ascii="Bookman Old Style" w:eastAsia="Bookman Old Style" w:hAnsi="Bookman Old Style" w:cs="Bookman Old Style"/>
              </w:rPr>
              <w:lastRenderedPageBreak/>
              <w:t>Se aco</w:t>
            </w:r>
            <w:r>
              <w:rPr>
                <w:rFonts w:ascii="Bookman Old Style" w:eastAsia="Bookman Old Style" w:hAnsi="Bookman Old Style" w:cs="Bookman Old Style"/>
              </w:rPr>
              <w:t xml:space="preserve">ge el texto aprobado en Senado </w:t>
            </w:r>
          </w:p>
        </w:tc>
      </w:tr>
      <w:tr w:rsidR="00923769">
        <w:tc>
          <w:tcPr>
            <w:tcW w:w="3540" w:type="dxa"/>
            <w:shd w:val="clear" w:color="auto" w:fill="auto"/>
            <w:tcMar>
              <w:top w:w="100" w:type="dxa"/>
              <w:left w:w="100" w:type="dxa"/>
              <w:bottom w:w="100" w:type="dxa"/>
              <w:right w:w="100" w:type="dxa"/>
            </w:tcMar>
          </w:tcPr>
          <w:p w:rsidR="00923769" w:rsidRDefault="00450620">
            <w:pPr>
              <w:widowControl w:val="0"/>
              <w:pBdr>
                <w:top w:val="nil"/>
                <w:left w:val="nil"/>
                <w:bottom w:val="nil"/>
                <w:right w:val="nil"/>
                <w:between w:val="nil"/>
              </w:pBdr>
              <w:spacing w:line="240" w:lineRule="auto"/>
              <w:jc w:val="both"/>
              <w:rPr>
                <w:rFonts w:ascii="Bookman Old Style" w:eastAsia="Bookman Old Style" w:hAnsi="Bookman Old Style" w:cs="Bookman Old Style"/>
              </w:rPr>
            </w:pPr>
            <w:r>
              <w:rPr>
                <w:rFonts w:ascii="Bookman Old Style" w:eastAsia="Bookman Old Style" w:hAnsi="Bookman Old Style" w:cs="Bookman Old Style"/>
                <w:b/>
              </w:rPr>
              <w:lastRenderedPageBreak/>
              <w:t>Artículo 4°.</w:t>
            </w:r>
            <w:r>
              <w:rPr>
                <w:rFonts w:ascii="Bookman Old Style" w:eastAsia="Bookman Old Style" w:hAnsi="Bookman Old Style" w:cs="Bookman Old Style"/>
              </w:rPr>
              <w:t xml:space="preserve"> </w:t>
            </w:r>
            <w:r>
              <w:rPr>
                <w:rFonts w:ascii="Bookman Old Style" w:eastAsia="Bookman Old Style" w:hAnsi="Bookman Old Style" w:cs="Bookman Old Style"/>
                <w:b/>
              </w:rPr>
              <w:t xml:space="preserve">Política de Canasta Básica de Cultura. </w:t>
            </w:r>
            <w:r>
              <w:rPr>
                <w:rFonts w:ascii="Bookman Old Style" w:eastAsia="Bookman Old Style" w:hAnsi="Bookman Old Style" w:cs="Bookman Old Style"/>
              </w:rPr>
              <w:t xml:space="preserve">La Política de Canasta Básica de Cultura, a cargo del Ministerio de Cultura, tendrá como objetivo principal el desarrollo de los proyectos que se detallan en la presente ley. La Política </w:t>
            </w:r>
            <w:r>
              <w:rPr>
                <w:rFonts w:ascii="Bookman Old Style" w:eastAsia="Bookman Old Style" w:hAnsi="Bookman Old Style" w:cs="Bookman Old Style"/>
              </w:rPr>
              <w:lastRenderedPageBreak/>
              <w:t xml:space="preserve">de Canasta Básica de Cultura está orientada a: </w:t>
            </w:r>
            <w:r>
              <w:rPr>
                <w:rFonts w:ascii="Bookman Old Style" w:eastAsia="Bookman Old Style" w:hAnsi="Bookman Old Style" w:cs="Bookman Old Style"/>
              </w:rPr>
              <w:br/>
            </w:r>
            <w:r>
              <w:rPr>
                <w:rFonts w:ascii="Bookman Old Style" w:eastAsia="Bookman Old Style" w:hAnsi="Bookman Old Style" w:cs="Bookman Old Style"/>
              </w:rPr>
              <w:br/>
              <w:t>a. Mejorar las condi</w:t>
            </w:r>
            <w:r>
              <w:rPr>
                <w:rFonts w:ascii="Bookman Old Style" w:eastAsia="Bookman Old Style" w:hAnsi="Bookman Old Style" w:cs="Bookman Old Style"/>
              </w:rPr>
              <w:t xml:space="preserve">ciones de toda la población, con enfoque diferencial, de género y étnico, e inclusiva, para su acceso a bienes, servicios y espacios culturales. </w:t>
            </w:r>
            <w:r>
              <w:rPr>
                <w:rFonts w:ascii="Bookman Old Style" w:eastAsia="Bookman Old Style" w:hAnsi="Bookman Old Style" w:cs="Bookman Old Style"/>
              </w:rPr>
              <w:br/>
            </w:r>
            <w:r>
              <w:rPr>
                <w:rFonts w:ascii="Bookman Old Style" w:eastAsia="Bookman Old Style" w:hAnsi="Bookman Old Style" w:cs="Bookman Old Style"/>
              </w:rPr>
              <w:br/>
              <w:t>b. Educar y sensibilizar a la población para la comprensión y disfrute de las expresiones artísticas y cultur</w:t>
            </w:r>
            <w:r>
              <w:rPr>
                <w:rFonts w:ascii="Bookman Old Style" w:eastAsia="Bookman Old Style" w:hAnsi="Bookman Old Style" w:cs="Bookman Old Style"/>
              </w:rPr>
              <w:t xml:space="preserve">ales. </w:t>
            </w:r>
            <w:r>
              <w:rPr>
                <w:rFonts w:ascii="Bookman Old Style" w:eastAsia="Bookman Old Style" w:hAnsi="Bookman Old Style" w:cs="Bookman Old Style"/>
              </w:rPr>
              <w:br/>
            </w:r>
            <w:r>
              <w:rPr>
                <w:rFonts w:ascii="Bookman Old Style" w:eastAsia="Bookman Old Style" w:hAnsi="Bookman Old Style" w:cs="Bookman Old Style"/>
              </w:rPr>
              <w:br/>
              <w:t xml:space="preserve">c. Dinamizar y fomentar los consumos culturales locales a través de la gestión de audiencias. </w:t>
            </w:r>
            <w:r>
              <w:rPr>
                <w:rFonts w:ascii="Bookman Old Style" w:eastAsia="Bookman Old Style" w:hAnsi="Bookman Old Style" w:cs="Bookman Old Style"/>
              </w:rPr>
              <w:br/>
            </w:r>
            <w:r>
              <w:rPr>
                <w:rFonts w:ascii="Bookman Old Style" w:eastAsia="Bookman Old Style" w:hAnsi="Bookman Old Style" w:cs="Bookman Old Style"/>
              </w:rPr>
              <w:br/>
              <w:t xml:space="preserve">d. Promover las expresiones artísticas y culturales locales. </w:t>
            </w:r>
            <w:r>
              <w:rPr>
                <w:rFonts w:ascii="Bookman Old Style" w:eastAsia="Bookman Old Style" w:hAnsi="Bookman Old Style" w:cs="Bookman Old Style"/>
              </w:rPr>
              <w:br/>
            </w:r>
            <w:r>
              <w:rPr>
                <w:rFonts w:ascii="Bookman Old Style" w:eastAsia="Bookman Old Style" w:hAnsi="Bookman Old Style" w:cs="Bookman Old Style"/>
              </w:rPr>
              <w:br/>
              <w:t>e. Divulgar y comunicar de manera asertiva las ofertas artísticas y culturales a nivel lo</w:t>
            </w:r>
            <w:r>
              <w:rPr>
                <w:rFonts w:ascii="Bookman Old Style" w:eastAsia="Bookman Old Style" w:hAnsi="Bookman Old Style" w:cs="Bookman Old Style"/>
              </w:rPr>
              <w:t xml:space="preserve">cal, regional y nacional. </w:t>
            </w:r>
            <w:r>
              <w:rPr>
                <w:rFonts w:ascii="Bookman Old Style" w:eastAsia="Bookman Old Style" w:hAnsi="Bookman Old Style" w:cs="Bookman Old Style"/>
              </w:rPr>
              <w:br/>
            </w:r>
            <w:r>
              <w:rPr>
                <w:rFonts w:ascii="Bookman Old Style" w:eastAsia="Bookman Old Style" w:hAnsi="Bookman Old Style" w:cs="Bookman Old Style"/>
              </w:rPr>
              <w:br/>
              <w:t xml:space="preserve">f. Descentralizar la oferta cultural a aquellas poblaciones de los municipios que no cuenten con una o que ésta sea carente. </w:t>
            </w:r>
          </w:p>
        </w:tc>
        <w:tc>
          <w:tcPr>
            <w:tcW w:w="3465" w:type="dxa"/>
            <w:shd w:val="clear" w:color="auto" w:fill="auto"/>
            <w:tcMar>
              <w:top w:w="100" w:type="dxa"/>
              <w:left w:w="100" w:type="dxa"/>
              <w:bottom w:w="100" w:type="dxa"/>
              <w:right w:w="100" w:type="dxa"/>
            </w:tcMar>
          </w:tcPr>
          <w:p w:rsidR="00923769" w:rsidRDefault="00450620">
            <w:pPr>
              <w:widowControl w:val="0"/>
              <w:spacing w:line="240" w:lineRule="auto"/>
              <w:jc w:val="both"/>
              <w:rPr>
                <w:rFonts w:ascii="Bookman Old Style" w:eastAsia="Bookman Old Style" w:hAnsi="Bookman Old Style" w:cs="Bookman Old Style"/>
              </w:rPr>
            </w:pPr>
            <w:r>
              <w:rPr>
                <w:rFonts w:ascii="Bookman Old Style" w:eastAsia="Bookman Old Style" w:hAnsi="Bookman Old Style" w:cs="Bookman Old Style"/>
                <w:b/>
              </w:rPr>
              <w:lastRenderedPageBreak/>
              <w:t>Artículo 4°. Política de Canasta Básica Cultural.</w:t>
            </w:r>
            <w:r>
              <w:rPr>
                <w:b/>
                <w:sz w:val="23"/>
                <w:szCs w:val="23"/>
              </w:rPr>
              <w:t xml:space="preserve"> </w:t>
            </w:r>
            <w:r>
              <w:rPr>
                <w:rFonts w:ascii="Bookman Old Style" w:eastAsia="Bookman Old Style" w:hAnsi="Bookman Old Style" w:cs="Bookman Old Style"/>
              </w:rPr>
              <w:t xml:space="preserve">La Política de Canasta Básica Cultural, a cargo del </w:t>
            </w:r>
            <w:r>
              <w:rPr>
                <w:rFonts w:ascii="Bookman Old Style" w:eastAsia="Bookman Old Style" w:hAnsi="Bookman Old Style" w:cs="Bookman Old Style"/>
              </w:rPr>
              <w:t xml:space="preserve">Ministerio de las Culturas, las Artes y los Saberes, tendrá como objetivo principal incentivar la participación, </w:t>
            </w:r>
            <w:r>
              <w:rPr>
                <w:rFonts w:ascii="Bookman Old Style" w:eastAsia="Bookman Old Style" w:hAnsi="Bookman Old Style" w:cs="Bookman Old Style"/>
              </w:rPr>
              <w:lastRenderedPageBreak/>
              <w:t xml:space="preserve">reconocimiento y reivindicación de identidades culturales, el fortalecimiento de la educación cultural y cierre de brechas, la promoción de la </w:t>
            </w:r>
            <w:r>
              <w:rPr>
                <w:rFonts w:ascii="Bookman Old Style" w:eastAsia="Bookman Old Style" w:hAnsi="Bookman Old Style" w:cs="Bookman Old Style"/>
              </w:rPr>
              <w:t>oferta y demanda cultural y acceso a bienes y servicios culturales, la preservación de tradiciones y patrimonio cultural, el emprendimiento y generación de empleos territoriales en actividades culturales sostenibles, y la gestión del conocimiento, monitore</w:t>
            </w:r>
            <w:r>
              <w:rPr>
                <w:rFonts w:ascii="Bookman Old Style" w:eastAsia="Bookman Old Style" w:hAnsi="Bookman Old Style" w:cs="Bookman Old Style"/>
              </w:rPr>
              <w:t xml:space="preserve">o y evaluación. </w:t>
            </w:r>
          </w:p>
          <w:p w:rsidR="00923769" w:rsidRDefault="00923769">
            <w:pPr>
              <w:widowControl w:val="0"/>
              <w:spacing w:line="240" w:lineRule="auto"/>
              <w:jc w:val="both"/>
              <w:rPr>
                <w:rFonts w:ascii="Bookman Old Style" w:eastAsia="Bookman Old Style" w:hAnsi="Bookman Old Style" w:cs="Bookman Old Style"/>
              </w:rPr>
            </w:pPr>
          </w:p>
          <w:p w:rsidR="00923769" w:rsidRDefault="00450620">
            <w:pPr>
              <w:widowControl w:val="0"/>
              <w:spacing w:line="24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La Política de Canasta Básica de Cultura está orientada a: </w:t>
            </w:r>
          </w:p>
          <w:p w:rsidR="00923769" w:rsidRDefault="00450620">
            <w:pPr>
              <w:widowControl w:val="0"/>
              <w:numPr>
                <w:ilvl w:val="0"/>
                <w:numId w:val="7"/>
              </w:numPr>
              <w:jc w:val="both"/>
              <w:rPr>
                <w:rFonts w:ascii="Bookman Old Style" w:eastAsia="Bookman Old Style" w:hAnsi="Bookman Old Style" w:cs="Bookman Old Style"/>
              </w:rPr>
            </w:pPr>
            <w:r>
              <w:rPr>
                <w:rFonts w:ascii="Bookman Old Style" w:eastAsia="Bookman Old Style" w:hAnsi="Bookman Old Style" w:cs="Bookman Old Style"/>
              </w:rPr>
              <w:t xml:space="preserve">Mejorar las condiciones de toda la población, con enfoque diferencial, de género y étnico, e inclusiva, para su acceso a bienes, servicios y espacios culturales. </w:t>
            </w:r>
          </w:p>
          <w:p w:rsidR="00923769" w:rsidRDefault="00450620">
            <w:pPr>
              <w:widowControl w:val="0"/>
              <w:numPr>
                <w:ilvl w:val="0"/>
                <w:numId w:val="7"/>
              </w:numPr>
              <w:jc w:val="both"/>
              <w:rPr>
                <w:rFonts w:ascii="Bookman Old Style" w:eastAsia="Bookman Old Style" w:hAnsi="Bookman Old Style" w:cs="Bookman Old Style"/>
              </w:rPr>
            </w:pPr>
            <w:r>
              <w:rPr>
                <w:rFonts w:ascii="Bookman Old Style" w:eastAsia="Bookman Old Style" w:hAnsi="Bookman Old Style" w:cs="Bookman Old Style"/>
              </w:rPr>
              <w:t>Educar y sensib</w:t>
            </w:r>
            <w:r>
              <w:rPr>
                <w:rFonts w:ascii="Bookman Old Style" w:eastAsia="Bookman Old Style" w:hAnsi="Bookman Old Style" w:cs="Bookman Old Style"/>
              </w:rPr>
              <w:t xml:space="preserve">ilizar a la población para la comprensión y disfrute de las expresiones artísticas y culturales. </w:t>
            </w:r>
          </w:p>
          <w:p w:rsidR="00923769" w:rsidRDefault="00450620">
            <w:pPr>
              <w:widowControl w:val="0"/>
              <w:numPr>
                <w:ilvl w:val="0"/>
                <w:numId w:val="7"/>
              </w:numPr>
              <w:jc w:val="both"/>
              <w:rPr>
                <w:rFonts w:ascii="Bookman Old Style" w:eastAsia="Bookman Old Style" w:hAnsi="Bookman Old Style" w:cs="Bookman Old Style"/>
              </w:rPr>
            </w:pPr>
            <w:r>
              <w:rPr>
                <w:rFonts w:ascii="Bookman Old Style" w:eastAsia="Bookman Old Style" w:hAnsi="Bookman Old Style" w:cs="Bookman Old Style"/>
              </w:rPr>
              <w:t xml:space="preserve">Dinamizar y fomentar los consumos culturales locales a través de la gestión de audiencias. </w:t>
            </w:r>
          </w:p>
          <w:p w:rsidR="00923769" w:rsidRDefault="00450620">
            <w:pPr>
              <w:widowControl w:val="0"/>
              <w:numPr>
                <w:ilvl w:val="0"/>
                <w:numId w:val="7"/>
              </w:numPr>
              <w:jc w:val="both"/>
              <w:rPr>
                <w:rFonts w:ascii="Bookman Old Style" w:eastAsia="Bookman Old Style" w:hAnsi="Bookman Old Style" w:cs="Bookman Old Style"/>
              </w:rPr>
            </w:pPr>
            <w:r>
              <w:rPr>
                <w:rFonts w:ascii="Bookman Old Style" w:eastAsia="Bookman Old Style" w:hAnsi="Bookman Old Style" w:cs="Bookman Old Style"/>
              </w:rPr>
              <w:t xml:space="preserve">Promover las expresiones artísticas y culturales locales. </w:t>
            </w:r>
          </w:p>
          <w:p w:rsidR="00923769" w:rsidRDefault="00450620">
            <w:pPr>
              <w:widowControl w:val="0"/>
              <w:numPr>
                <w:ilvl w:val="0"/>
                <w:numId w:val="7"/>
              </w:numPr>
              <w:jc w:val="both"/>
              <w:rPr>
                <w:rFonts w:ascii="Bookman Old Style" w:eastAsia="Bookman Old Style" w:hAnsi="Bookman Old Style" w:cs="Bookman Old Style"/>
              </w:rPr>
            </w:pPr>
            <w:r>
              <w:rPr>
                <w:rFonts w:ascii="Bookman Old Style" w:eastAsia="Bookman Old Style" w:hAnsi="Bookman Old Style" w:cs="Bookman Old Style"/>
              </w:rPr>
              <w:t xml:space="preserve">Divulgar y comunicar de manera asertiva las ofertas artísticas y culturales a nivel local, regional y nacional. </w:t>
            </w:r>
          </w:p>
          <w:p w:rsidR="00923769" w:rsidRDefault="00450620">
            <w:pPr>
              <w:widowControl w:val="0"/>
              <w:numPr>
                <w:ilvl w:val="0"/>
                <w:numId w:val="7"/>
              </w:numPr>
              <w:pBdr>
                <w:top w:val="nil"/>
                <w:left w:val="nil"/>
                <w:bottom w:val="nil"/>
                <w:right w:val="nil"/>
                <w:between w:val="nil"/>
              </w:pBdr>
              <w:spacing w:line="24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Descentralizar la oferta cultural a aquellas poblaciones de los municipios que no </w:t>
            </w:r>
            <w:r>
              <w:rPr>
                <w:rFonts w:ascii="Bookman Old Style" w:eastAsia="Bookman Old Style" w:hAnsi="Bookman Old Style" w:cs="Bookman Old Style"/>
              </w:rPr>
              <w:lastRenderedPageBreak/>
              <w:t>cuenten con una o que ésta sea carente, en especial en los mu</w:t>
            </w:r>
            <w:r>
              <w:rPr>
                <w:rFonts w:ascii="Bookman Old Style" w:eastAsia="Bookman Old Style" w:hAnsi="Bookman Old Style" w:cs="Bookman Old Style"/>
              </w:rPr>
              <w:t>nicipios de alta ruralidad y zonas dispersas.</w:t>
            </w:r>
          </w:p>
        </w:tc>
        <w:tc>
          <w:tcPr>
            <w:tcW w:w="1995" w:type="dxa"/>
            <w:shd w:val="clear" w:color="auto" w:fill="auto"/>
            <w:tcMar>
              <w:top w:w="100" w:type="dxa"/>
              <w:left w:w="100" w:type="dxa"/>
              <w:bottom w:w="100" w:type="dxa"/>
              <w:right w:w="100" w:type="dxa"/>
            </w:tcMar>
          </w:tcPr>
          <w:p w:rsidR="00923769" w:rsidRDefault="00450620">
            <w:pPr>
              <w:widowControl w:val="0"/>
              <w:spacing w:line="240" w:lineRule="auto"/>
              <w:rPr>
                <w:rFonts w:ascii="Bookman Old Style" w:eastAsia="Bookman Old Style" w:hAnsi="Bookman Old Style" w:cs="Bookman Old Style"/>
                <w:b/>
              </w:rPr>
            </w:pPr>
            <w:r>
              <w:rPr>
                <w:rFonts w:ascii="Bookman Old Style" w:eastAsia="Bookman Old Style" w:hAnsi="Bookman Old Style" w:cs="Bookman Old Style"/>
              </w:rPr>
              <w:lastRenderedPageBreak/>
              <w:t xml:space="preserve">Se acoge el texto aprobado en Senado </w:t>
            </w:r>
          </w:p>
        </w:tc>
      </w:tr>
      <w:tr w:rsidR="00923769">
        <w:tc>
          <w:tcPr>
            <w:tcW w:w="3540" w:type="dxa"/>
            <w:shd w:val="clear" w:color="auto" w:fill="auto"/>
            <w:tcMar>
              <w:top w:w="100" w:type="dxa"/>
              <w:left w:w="100" w:type="dxa"/>
              <w:bottom w:w="100" w:type="dxa"/>
              <w:right w:w="100" w:type="dxa"/>
            </w:tcMar>
          </w:tcPr>
          <w:p w:rsidR="00923769" w:rsidRDefault="00450620">
            <w:pPr>
              <w:widowControl w:val="0"/>
              <w:spacing w:line="240" w:lineRule="auto"/>
              <w:jc w:val="both"/>
              <w:rPr>
                <w:rFonts w:ascii="Bookman Old Style" w:eastAsia="Bookman Old Style" w:hAnsi="Bookman Old Style" w:cs="Bookman Old Style"/>
              </w:rPr>
            </w:pPr>
            <w:r>
              <w:rPr>
                <w:rFonts w:ascii="Bookman Old Style" w:eastAsia="Bookman Old Style" w:hAnsi="Bookman Old Style" w:cs="Bookman Old Style"/>
                <w:b/>
              </w:rPr>
              <w:lastRenderedPageBreak/>
              <w:t xml:space="preserve">Artículo Nuevo. Enfoques. </w:t>
            </w:r>
            <w:r>
              <w:rPr>
                <w:rFonts w:ascii="Bookman Old Style" w:eastAsia="Bookman Old Style" w:hAnsi="Bookman Old Style" w:cs="Bookman Old Style"/>
              </w:rPr>
              <w:t xml:space="preserve">Las estrategias, programas y proyectos, se deben diseñar teniendo en cuenta los siguientes enfoques transversales: </w:t>
            </w:r>
          </w:p>
          <w:p w:rsidR="00923769" w:rsidRDefault="00923769">
            <w:pPr>
              <w:widowControl w:val="0"/>
              <w:spacing w:line="240" w:lineRule="auto"/>
              <w:jc w:val="both"/>
              <w:rPr>
                <w:rFonts w:ascii="Bookman Old Style" w:eastAsia="Bookman Old Style" w:hAnsi="Bookman Old Style" w:cs="Bookman Old Style"/>
              </w:rPr>
            </w:pPr>
          </w:p>
          <w:p w:rsidR="00923769" w:rsidRDefault="00450620">
            <w:pPr>
              <w:widowControl w:val="0"/>
              <w:spacing w:line="240" w:lineRule="auto"/>
              <w:jc w:val="both"/>
              <w:rPr>
                <w:rFonts w:ascii="Bookman Old Style" w:eastAsia="Bookman Old Style" w:hAnsi="Bookman Old Style" w:cs="Bookman Old Style"/>
              </w:rPr>
            </w:pPr>
            <w:r>
              <w:rPr>
                <w:rFonts w:ascii="Bookman Old Style" w:eastAsia="Bookman Old Style" w:hAnsi="Bookman Old Style" w:cs="Bookman Old Style"/>
              </w:rPr>
              <w:t>a. Enfoque de derechos: El primer paso es reconocer que la población en general es poseedora de derechos que obligan al Estado. Lo que se busca a partir de este concepto, es cambiar la lógica, para que el punto de partida no sea la existencia de personas c</w:t>
            </w:r>
            <w:r>
              <w:rPr>
                <w:rFonts w:ascii="Bookman Old Style" w:eastAsia="Bookman Old Style" w:hAnsi="Bookman Old Style" w:cs="Bookman Old Style"/>
              </w:rPr>
              <w:t xml:space="preserve">on necesidades que deben ser asistidas, sino que son sujetos con derechos a determinadas prestaciones y conductas. Los derechos demandan obligaciones y requieren mecanismos para darles cumplimiento. </w:t>
            </w:r>
          </w:p>
          <w:p w:rsidR="00923769" w:rsidRDefault="00923769">
            <w:pPr>
              <w:widowControl w:val="0"/>
              <w:spacing w:line="240" w:lineRule="auto"/>
              <w:jc w:val="both"/>
              <w:rPr>
                <w:rFonts w:ascii="Bookman Old Style" w:eastAsia="Bookman Old Style" w:hAnsi="Bookman Old Style" w:cs="Bookman Old Style"/>
              </w:rPr>
            </w:pPr>
          </w:p>
          <w:p w:rsidR="00923769" w:rsidRDefault="00450620">
            <w:pPr>
              <w:widowControl w:val="0"/>
              <w:spacing w:line="240" w:lineRule="auto"/>
              <w:jc w:val="both"/>
              <w:rPr>
                <w:rFonts w:ascii="Bookman Old Style" w:eastAsia="Bookman Old Style" w:hAnsi="Bookman Old Style" w:cs="Bookman Old Style"/>
              </w:rPr>
            </w:pPr>
            <w:r>
              <w:rPr>
                <w:rFonts w:ascii="Bookman Old Style" w:eastAsia="Bookman Old Style" w:hAnsi="Bookman Old Style" w:cs="Bookman Old Style"/>
              </w:rPr>
              <w:t>b. Enfoque de derechos culturales: Son derechos humanos para asegurar el disfrute de la cultura y de sus componentes en condiciones de igualdad, dignidad humana y no discriminación. Son derechos relativos a la lengua; la producción cultural y artística; la</w:t>
            </w:r>
            <w:r>
              <w:rPr>
                <w:rFonts w:ascii="Bookman Old Style" w:eastAsia="Bookman Old Style" w:hAnsi="Bookman Old Style" w:cs="Bookman Old Style"/>
              </w:rPr>
              <w:t xml:space="preserve"> participación en la cultura; el patrimonio cultural; los derechos de autor; las minorías y el acceso a la cultura, entre otros. </w:t>
            </w:r>
          </w:p>
          <w:p w:rsidR="00923769" w:rsidRDefault="00923769">
            <w:pPr>
              <w:widowControl w:val="0"/>
              <w:spacing w:line="240" w:lineRule="auto"/>
              <w:jc w:val="both"/>
              <w:rPr>
                <w:rFonts w:ascii="Bookman Old Style" w:eastAsia="Bookman Old Style" w:hAnsi="Bookman Old Style" w:cs="Bookman Old Style"/>
              </w:rPr>
            </w:pPr>
          </w:p>
          <w:p w:rsidR="00923769" w:rsidRDefault="00450620">
            <w:pPr>
              <w:widowControl w:val="0"/>
              <w:spacing w:line="24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c. Enfoque intersectorial: El enfoque intersectorialidad como una función inherente al que hacer del Estado para desarrollar </w:t>
            </w:r>
            <w:r>
              <w:rPr>
                <w:rFonts w:ascii="Bookman Old Style" w:eastAsia="Bookman Old Style" w:hAnsi="Bookman Old Style" w:cs="Bookman Old Style"/>
              </w:rPr>
              <w:t xml:space="preserve">sus competencias y velar de manera integral por la </w:t>
            </w:r>
            <w:r>
              <w:rPr>
                <w:rFonts w:ascii="Bookman Old Style" w:eastAsia="Bookman Old Style" w:hAnsi="Bookman Old Style" w:cs="Bookman Old Style"/>
              </w:rPr>
              <w:lastRenderedPageBreak/>
              <w:t>garantía de los derechos culturales, determina que se deben implementar acciones conjuntas con otros sectores como educación, trabajo, tecnologías de la información y la comunicación, salud, vivienda y com</w:t>
            </w:r>
            <w:r>
              <w:rPr>
                <w:rFonts w:ascii="Bookman Old Style" w:eastAsia="Bookman Old Style" w:hAnsi="Bookman Old Style" w:cs="Bookman Old Style"/>
              </w:rPr>
              <w:t xml:space="preserve">ercio, entre otras. En este sentido, se propende al reconocimiento de los procesos culturales como un factor de conjunción con otros sectores y la contribución de estos a propósitos colectivos. </w:t>
            </w:r>
          </w:p>
          <w:p w:rsidR="00923769" w:rsidRDefault="00923769">
            <w:pPr>
              <w:widowControl w:val="0"/>
              <w:spacing w:line="240" w:lineRule="auto"/>
              <w:jc w:val="both"/>
              <w:rPr>
                <w:rFonts w:ascii="Bookman Old Style" w:eastAsia="Bookman Old Style" w:hAnsi="Bookman Old Style" w:cs="Bookman Old Style"/>
              </w:rPr>
            </w:pPr>
          </w:p>
          <w:p w:rsidR="00923769" w:rsidRDefault="00450620">
            <w:pPr>
              <w:widowControl w:val="0"/>
              <w:spacing w:line="240" w:lineRule="auto"/>
              <w:jc w:val="both"/>
              <w:rPr>
                <w:rFonts w:ascii="Bookman Old Style" w:eastAsia="Bookman Old Style" w:hAnsi="Bookman Old Style" w:cs="Bookman Old Style"/>
              </w:rPr>
            </w:pPr>
            <w:r>
              <w:rPr>
                <w:rFonts w:ascii="Bookman Old Style" w:eastAsia="Bookman Old Style" w:hAnsi="Bookman Old Style" w:cs="Bookman Old Style"/>
              </w:rPr>
              <w:t>d. Enfoque diferencial: El enfoque diferencial es un marco d</w:t>
            </w:r>
            <w:r>
              <w:rPr>
                <w:rFonts w:ascii="Bookman Old Style" w:eastAsia="Bookman Old Style" w:hAnsi="Bookman Old Style" w:cs="Bookman Old Style"/>
              </w:rPr>
              <w:t>e referencia que parte de entender, reconocer y valorar la pluralidad de expresiones e identidades culturales propias de la diversidad inherente a nuestra sociedad. La implementación de este enfoque busca responder de manera adecuada, diferenciada y pertin</w:t>
            </w:r>
            <w:r>
              <w:rPr>
                <w:rFonts w:ascii="Bookman Old Style" w:eastAsia="Bookman Old Style" w:hAnsi="Bookman Old Style" w:cs="Bookman Old Style"/>
              </w:rPr>
              <w:t xml:space="preserve">ente a las necesidades y problemáticas. Este enfoque se garantizará, entre otros mecanismos, a través de la concertación y el cumplimiento del Convenio 169 de la OIT frente a pueblos indígenas. </w:t>
            </w:r>
          </w:p>
          <w:p w:rsidR="00923769" w:rsidRDefault="00923769">
            <w:pPr>
              <w:widowControl w:val="0"/>
              <w:spacing w:line="240" w:lineRule="auto"/>
              <w:jc w:val="both"/>
              <w:rPr>
                <w:rFonts w:ascii="Bookman Old Style" w:eastAsia="Bookman Old Style" w:hAnsi="Bookman Old Style" w:cs="Bookman Old Style"/>
              </w:rPr>
            </w:pPr>
          </w:p>
          <w:p w:rsidR="00923769" w:rsidRDefault="00450620">
            <w:pPr>
              <w:widowControl w:val="0"/>
              <w:spacing w:line="240" w:lineRule="auto"/>
              <w:jc w:val="both"/>
              <w:rPr>
                <w:rFonts w:ascii="Bookman Old Style" w:eastAsia="Bookman Old Style" w:hAnsi="Bookman Old Style" w:cs="Bookman Old Style"/>
                <w:b/>
              </w:rPr>
            </w:pPr>
            <w:r>
              <w:rPr>
                <w:rFonts w:ascii="Bookman Old Style" w:eastAsia="Bookman Old Style" w:hAnsi="Bookman Old Style" w:cs="Bookman Old Style"/>
              </w:rPr>
              <w:t>e. Enfoque territorial: Este enfoque busca visibilizar los t</w:t>
            </w:r>
            <w:r>
              <w:rPr>
                <w:rFonts w:ascii="Bookman Old Style" w:eastAsia="Bookman Old Style" w:hAnsi="Bookman Old Style" w:cs="Bookman Old Style"/>
              </w:rPr>
              <w:t>erritorios y sus particularidades como espacios dinámicos de relaciones socioculturales, políticas, económicas y ambientales, donde interactúan comunidades, pueblos, organizaciones e individuos. A partir de ese reconocimiento se pretende orientar las polít</w:t>
            </w:r>
            <w:r>
              <w:rPr>
                <w:rFonts w:ascii="Bookman Old Style" w:eastAsia="Bookman Old Style" w:hAnsi="Bookman Old Style" w:cs="Bookman Old Style"/>
              </w:rPr>
              <w:t xml:space="preserve">icas públicas culturales para que respondan de manera diferenciada y pertinente a las necesidades y condiciones de los procesos </w:t>
            </w:r>
            <w:r>
              <w:rPr>
                <w:rFonts w:ascii="Bookman Old Style" w:eastAsia="Bookman Old Style" w:hAnsi="Bookman Old Style" w:cs="Bookman Old Style"/>
              </w:rPr>
              <w:lastRenderedPageBreak/>
              <w:t>culturales</w:t>
            </w:r>
            <w:r>
              <w:rPr>
                <w:rFonts w:ascii="Bookman Old Style" w:eastAsia="Bookman Old Style" w:hAnsi="Bookman Old Style" w:cs="Bookman Old Style"/>
                <w:b/>
              </w:rPr>
              <w:t>.</w:t>
            </w:r>
          </w:p>
        </w:tc>
        <w:tc>
          <w:tcPr>
            <w:tcW w:w="3465" w:type="dxa"/>
            <w:shd w:val="clear" w:color="auto" w:fill="auto"/>
            <w:tcMar>
              <w:top w:w="100" w:type="dxa"/>
              <w:left w:w="100" w:type="dxa"/>
              <w:bottom w:w="100" w:type="dxa"/>
              <w:right w:w="100" w:type="dxa"/>
            </w:tcMar>
          </w:tcPr>
          <w:p w:rsidR="00923769" w:rsidRDefault="00450620">
            <w:pPr>
              <w:widowControl w:val="0"/>
              <w:spacing w:line="240" w:lineRule="auto"/>
              <w:jc w:val="both"/>
              <w:rPr>
                <w:rFonts w:ascii="Bookman Old Style" w:eastAsia="Bookman Old Style" w:hAnsi="Bookman Old Style" w:cs="Bookman Old Style"/>
              </w:rPr>
            </w:pPr>
            <w:r>
              <w:rPr>
                <w:rFonts w:ascii="Bookman Old Style" w:eastAsia="Bookman Old Style" w:hAnsi="Bookman Old Style" w:cs="Bookman Old Style"/>
                <w:b/>
              </w:rPr>
              <w:lastRenderedPageBreak/>
              <w:t>Artículo 5° Enfoques.</w:t>
            </w:r>
            <w:r>
              <w:rPr>
                <w:rFonts w:ascii="Bookman Old Style" w:eastAsia="Bookman Old Style" w:hAnsi="Bookman Old Style" w:cs="Bookman Old Style"/>
              </w:rPr>
              <w:t xml:space="preserve"> La política de canasta básica cultural, las estrategias, programas y proyectos derivados, se d</w:t>
            </w:r>
            <w:r>
              <w:rPr>
                <w:rFonts w:ascii="Bookman Old Style" w:eastAsia="Bookman Old Style" w:hAnsi="Bookman Old Style" w:cs="Bookman Old Style"/>
              </w:rPr>
              <w:t xml:space="preserve">eben diseñar teniendo en cuenta los siguientes enfoques transversales: </w:t>
            </w:r>
          </w:p>
          <w:p w:rsidR="00923769" w:rsidRDefault="00923769">
            <w:pPr>
              <w:widowControl w:val="0"/>
              <w:spacing w:line="240" w:lineRule="auto"/>
              <w:jc w:val="both"/>
              <w:rPr>
                <w:rFonts w:ascii="Bookman Old Style" w:eastAsia="Bookman Old Style" w:hAnsi="Bookman Old Style" w:cs="Bookman Old Style"/>
              </w:rPr>
            </w:pPr>
          </w:p>
          <w:p w:rsidR="00923769" w:rsidRDefault="00450620">
            <w:pPr>
              <w:widowControl w:val="0"/>
              <w:numPr>
                <w:ilvl w:val="0"/>
                <w:numId w:val="3"/>
              </w:numPr>
              <w:spacing w:line="240" w:lineRule="auto"/>
              <w:jc w:val="both"/>
              <w:rPr>
                <w:rFonts w:ascii="Bookman Old Style" w:eastAsia="Bookman Old Style" w:hAnsi="Bookman Old Style" w:cs="Bookman Old Style"/>
              </w:rPr>
            </w:pPr>
            <w:r>
              <w:rPr>
                <w:rFonts w:ascii="Bookman Old Style" w:eastAsia="Bookman Old Style" w:hAnsi="Bookman Old Style" w:cs="Bookman Old Style"/>
              </w:rPr>
              <w:t>Enfoque de derechos: El primer paso es reconocer que la población en general es poseedora de derechos que obligan al Estado. Lo que se busca a partir de este concepto, es cambiar la l</w:t>
            </w:r>
            <w:r>
              <w:rPr>
                <w:rFonts w:ascii="Bookman Old Style" w:eastAsia="Bookman Old Style" w:hAnsi="Bookman Old Style" w:cs="Bookman Old Style"/>
              </w:rPr>
              <w:t>ógica, para que el punto de partida no sea la existencia de personas con necesidades que deben ser asistidas, sino que son sujetos con derechos a determinadas prestaciones y conductas. Los derechos demandan obligaciones y requieren mecanismos para darles c</w:t>
            </w:r>
            <w:r>
              <w:rPr>
                <w:rFonts w:ascii="Bookman Old Style" w:eastAsia="Bookman Old Style" w:hAnsi="Bookman Old Style" w:cs="Bookman Old Style"/>
              </w:rPr>
              <w:t>umplimiento.</w:t>
            </w:r>
            <w:r>
              <w:rPr>
                <w:rFonts w:ascii="Bookman Old Style" w:eastAsia="Bookman Old Style" w:hAnsi="Bookman Old Style" w:cs="Bookman Old Style"/>
              </w:rPr>
              <w:br/>
            </w:r>
          </w:p>
          <w:p w:rsidR="00923769" w:rsidRDefault="00450620">
            <w:pPr>
              <w:widowControl w:val="0"/>
              <w:numPr>
                <w:ilvl w:val="0"/>
                <w:numId w:val="3"/>
              </w:numPr>
              <w:spacing w:line="24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Enfoque de derechos culturales: Son derechos humanos para asegurar el disfrute de la cultura y de sus componentes en condiciones de igualdad, dignidad humana y no discriminación. Son derechos relativos a la lengua; la producción </w:t>
            </w:r>
            <w:r>
              <w:rPr>
                <w:rFonts w:ascii="Bookman Old Style" w:eastAsia="Bookman Old Style" w:hAnsi="Bookman Old Style" w:cs="Bookman Old Style"/>
              </w:rPr>
              <w:lastRenderedPageBreak/>
              <w:t>cultural y ar</w:t>
            </w:r>
            <w:r>
              <w:rPr>
                <w:rFonts w:ascii="Bookman Old Style" w:eastAsia="Bookman Old Style" w:hAnsi="Bookman Old Style" w:cs="Bookman Old Style"/>
              </w:rPr>
              <w:t>tística; la participación en la cultura; el patrimonio cultural; los derechos de autor; las minorías y el acceso a la cultura, entre otros.</w:t>
            </w:r>
            <w:r>
              <w:rPr>
                <w:rFonts w:ascii="Bookman Old Style" w:eastAsia="Bookman Old Style" w:hAnsi="Bookman Old Style" w:cs="Bookman Old Style"/>
              </w:rPr>
              <w:br/>
            </w:r>
          </w:p>
          <w:p w:rsidR="00923769" w:rsidRDefault="00450620">
            <w:pPr>
              <w:widowControl w:val="0"/>
              <w:numPr>
                <w:ilvl w:val="0"/>
                <w:numId w:val="3"/>
              </w:numPr>
              <w:spacing w:line="240" w:lineRule="auto"/>
              <w:jc w:val="both"/>
              <w:rPr>
                <w:rFonts w:ascii="Bookman Old Style" w:eastAsia="Bookman Old Style" w:hAnsi="Bookman Old Style" w:cs="Bookman Old Style"/>
              </w:rPr>
            </w:pPr>
            <w:r>
              <w:rPr>
                <w:rFonts w:ascii="Bookman Old Style" w:eastAsia="Bookman Old Style" w:hAnsi="Bookman Old Style" w:cs="Bookman Old Style"/>
              </w:rPr>
              <w:t>Enfoque intersectorial: El enfoque de intersectorialidad como una función inherente al quehacer del Estado para des</w:t>
            </w:r>
            <w:r>
              <w:rPr>
                <w:rFonts w:ascii="Bookman Old Style" w:eastAsia="Bookman Old Style" w:hAnsi="Bookman Old Style" w:cs="Bookman Old Style"/>
              </w:rPr>
              <w:t>arrollar sus competencias y velar de manera integral por la garantía de los derechos culturales, determina que se deben implementar acciones conjuntas con otros sectores como educación, trabajo, tecnologías de la información y la comunicación, salud, vivie</w:t>
            </w:r>
            <w:r>
              <w:rPr>
                <w:rFonts w:ascii="Bookman Old Style" w:eastAsia="Bookman Old Style" w:hAnsi="Bookman Old Style" w:cs="Bookman Old Style"/>
              </w:rPr>
              <w:t xml:space="preserve">nda y comercio, entre otras. En este sentido, se propende al reconocimiento de los procesos culturales como un factor de conjunción con otros sectores y la contribución de estos a propósitos colectivos. </w:t>
            </w:r>
            <w:r>
              <w:rPr>
                <w:rFonts w:ascii="Bookman Old Style" w:eastAsia="Bookman Old Style" w:hAnsi="Bookman Old Style" w:cs="Bookman Old Style"/>
              </w:rPr>
              <w:br/>
            </w:r>
          </w:p>
          <w:p w:rsidR="00923769" w:rsidRDefault="00450620">
            <w:pPr>
              <w:widowControl w:val="0"/>
              <w:numPr>
                <w:ilvl w:val="0"/>
                <w:numId w:val="3"/>
              </w:numPr>
              <w:spacing w:line="240" w:lineRule="auto"/>
              <w:jc w:val="both"/>
              <w:rPr>
                <w:rFonts w:ascii="Bookman Old Style" w:eastAsia="Bookman Old Style" w:hAnsi="Bookman Old Style" w:cs="Bookman Old Style"/>
              </w:rPr>
            </w:pPr>
            <w:r>
              <w:rPr>
                <w:rFonts w:ascii="Bookman Old Style" w:eastAsia="Bookman Old Style" w:hAnsi="Bookman Old Style" w:cs="Bookman Old Style"/>
              </w:rPr>
              <w:t>Enfoque diferencial: El enfoque diferencial es un m</w:t>
            </w:r>
            <w:r>
              <w:rPr>
                <w:rFonts w:ascii="Bookman Old Style" w:eastAsia="Bookman Old Style" w:hAnsi="Bookman Old Style" w:cs="Bookman Old Style"/>
              </w:rPr>
              <w:t>arco de referencia que parte de entender, reconocer y valorar la pluralidad de expresiones e identidades culturales y étnicas propias de la diversidad inherente a nuestra sociedad. La implementación de este enfoque busca responder de manera adecuada, difer</w:t>
            </w:r>
            <w:r>
              <w:rPr>
                <w:rFonts w:ascii="Bookman Old Style" w:eastAsia="Bookman Old Style" w:hAnsi="Bookman Old Style" w:cs="Bookman Old Style"/>
              </w:rPr>
              <w:t xml:space="preserve">enciada y pertinente a las </w:t>
            </w:r>
            <w:r>
              <w:rPr>
                <w:rFonts w:ascii="Bookman Old Style" w:eastAsia="Bookman Old Style" w:hAnsi="Bookman Old Style" w:cs="Bookman Old Style"/>
              </w:rPr>
              <w:lastRenderedPageBreak/>
              <w:t>necesidades y problemáticas de la población, mediante la implementación de acciones afirmativas a favor de las comunidades indígenas, negras, afrocolombianas, raizales, palenqueras y Rrom. Este enfoque se garantizará, entre otros</w:t>
            </w:r>
            <w:r>
              <w:rPr>
                <w:rFonts w:ascii="Bookman Old Style" w:eastAsia="Bookman Old Style" w:hAnsi="Bookman Old Style" w:cs="Bookman Old Style"/>
              </w:rPr>
              <w:t xml:space="preserve"> mecanismos, a través de la concertación y el cumplimiento del Convenio 169 de la OIT frente a pueblos indígenas y tribales, y de la legislación vigente relacionada con pueblos negros, afrodescendientes, raizales y palenqueros, Rrom, y lo referente a campe</w:t>
            </w:r>
            <w:r>
              <w:rPr>
                <w:rFonts w:ascii="Bookman Old Style" w:eastAsia="Bookman Old Style" w:hAnsi="Bookman Old Style" w:cs="Bookman Old Style"/>
              </w:rPr>
              <w:t xml:space="preserve">sinos y campesinas y otros habitantes rurales según la Declaración de las Naciones Unidas sobre los Derechos de los Campesinos y de Otras Personas que Trabajan en las Zonas Rurales y el artículo 64 de la Constitución Política. </w:t>
            </w:r>
            <w:r>
              <w:rPr>
                <w:rFonts w:ascii="Bookman Old Style" w:eastAsia="Bookman Old Style" w:hAnsi="Bookman Old Style" w:cs="Bookman Old Style"/>
              </w:rPr>
              <w:br/>
            </w:r>
          </w:p>
          <w:p w:rsidR="00923769" w:rsidRDefault="00450620">
            <w:pPr>
              <w:widowControl w:val="0"/>
              <w:numPr>
                <w:ilvl w:val="0"/>
                <w:numId w:val="3"/>
              </w:numPr>
              <w:spacing w:line="240" w:lineRule="auto"/>
              <w:jc w:val="both"/>
              <w:rPr>
                <w:rFonts w:ascii="Bookman Old Style" w:eastAsia="Bookman Old Style" w:hAnsi="Bookman Old Style" w:cs="Bookman Old Style"/>
              </w:rPr>
            </w:pPr>
            <w:r>
              <w:rPr>
                <w:rFonts w:ascii="Bookman Old Style" w:eastAsia="Bookman Old Style" w:hAnsi="Bookman Old Style" w:cs="Bookman Old Style"/>
              </w:rPr>
              <w:t>Enfoque territorial: Este e</w:t>
            </w:r>
            <w:r>
              <w:rPr>
                <w:rFonts w:ascii="Bookman Old Style" w:eastAsia="Bookman Old Style" w:hAnsi="Bookman Old Style" w:cs="Bookman Old Style"/>
              </w:rPr>
              <w:t xml:space="preserve">nfoque busca visibilizar los territorios y sus particularidades como espacios dinámicos de relaciones socioculturales, políticas, económicas y ambientales, donde interactúan comunidades, pueblos, organizaciones e individuos. A partir de ese reconocimiento </w:t>
            </w:r>
            <w:r>
              <w:rPr>
                <w:rFonts w:ascii="Bookman Old Style" w:eastAsia="Bookman Old Style" w:hAnsi="Bookman Old Style" w:cs="Bookman Old Style"/>
              </w:rPr>
              <w:t xml:space="preserve">se pretende orientar las políticas públicas </w:t>
            </w:r>
            <w:r>
              <w:rPr>
                <w:rFonts w:ascii="Bookman Old Style" w:eastAsia="Bookman Old Style" w:hAnsi="Bookman Old Style" w:cs="Bookman Old Style"/>
              </w:rPr>
              <w:lastRenderedPageBreak/>
              <w:t>culturales para que respondan de manera diferenciada y pertinente a las necesidades y condiciones de los procesos culturales.</w:t>
            </w:r>
            <w:r>
              <w:rPr>
                <w:rFonts w:ascii="Bookman Old Style" w:eastAsia="Bookman Old Style" w:hAnsi="Bookman Old Style" w:cs="Bookman Old Style"/>
              </w:rPr>
              <w:br/>
            </w:r>
          </w:p>
          <w:p w:rsidR="00923769" w:rsidRDefault="00450620">
            <w:pPr>
              <w:widowControl w:val="0"/>
              <w:numPr>
                <w:ilvl w:val="0"/>
                <w:numId w:val="3"/>
              </w:numPr>
              <w:spacing w:line="240" w:lineRule="auto"/>
              <w:jc w:val="both"/>
              <w:rPr>
                <w:rFonts w:ascii="Bookman Old Style" w:eastAsia="Bookman Old Style" w:hAnsi="Bookman Old Style" w:cs="Bookman Old Style"/>
              </w:rPr>
            </w:pPr>
            <w:r>
              <w:rPr>
                <w:rFonts w:ascii="Bookman Old Style" w:eastAsia="Bookman Old Style" w:hAnsi="Bookman Old Style" w:cs="Bookman Old Style"/>
              </w:rPr>
              <w:t>Enfoque etario: Se refiere a la consideración de las diferentes necesidades y prefere</w:t>
            </w:r>
            <w:r>
              <w:rPr>
                <w:rFonts w:ascii="Bookman Old Style" w:eastAsia="Bookman Old Style" w:hAnsi="Bookman Old Style" w:cs="Bookman Old Style"/>
              </w:rPr>
              <w:t>ncias culturales de los distintos grupos de edad dentro de la población colombiana.</w:t>
            </w:r>
          </w:p>
        </w:tc>
        <w:tc>
          <w:tcPr>
            <w:tcW w:w="1995" w:type="dxa"/>
            <w:shd w:val="clear" w:color="auto" w:fill="auto"/>
            <w:tcMar>
              <w:top w:w="100" w:type="dxa"/>
              <w:left w:w="100" w:type="dxa"/>
              <w:bottom w:w="100" w:type="dxa"/>
              <w:right w:w="100" w:type="dxa"/>
            </w:tcMar>
          </w:tcPr>
          <w:p w:rsidR="00923769" w:rsidRDefault="00450620">
            <w:pPr>
              <w:widowControl w:val="0"/>
              <w:spacing w:line="240" w:lineRule="auto"/>
              <w:rPr>
                <w:rFonts w:ascii="Bookman Old Style" w:eastAsia="Bookman Old Style" w:hAnsi="Bookman Old Style" w:cs="Bookman Old Style"/>
                <w:b/>
              </w:rPr>
            </w:pPr>
            <w:r>
              <w:rPr>
                <w:rFonts w:ascii="Bookman Old Style" w:eastAsia="Bookman Old Style" w:hAnsi="Bookman Old Style" w:cs="Bookman Old Style"/>
              </w:rPr>
              <w:lastRenderedPageBreak/>
              <w:t xml:space="preserve">Se acoge el texto aprobado en Senado </w:t>
            </w:r>
          </w:p>
        </w:tc>
      </w:tr>
      <w:tr w:rsidR="00923769">
        <w:tc>
          <w:tcPr>
            <w:tcW w:w="3540" w:type="dxa"/>
            <w:shd w:val="clear" w:color="auto" w:fill="auto"/>
            <w:tcMar>
              <w:top w:w="100" w:type="dxa"/>
              <w:left w:w="100" w:type="dxa"/>
              <w:bottom w:w="100" w:type="dxa"/>
              <w:right w:w="100" w:type="dxa"/>
            </w:tcMar>
          </w:tcPr>
          <w:p w:rsidR="00923769" w:rsidRDefault="00450620">
            <w:pPr>
              <w:widowControl w:val="0"/>
              <w:pBdr>
                <w:top w:val="nil"/>
                <w:left w:val="nil"/>
                <w:bottom w:val="nil"/>
                <w:right w:val="nil"/>
                <w:between w:val="nil"/>
              </w:pBdr>
              <w:spacing w:line="240" w:lineRule="auto"/>
              <w:jc w:val="both"/>
              <w:rPr>
                <w:rFonts w:ascii="Bookman Old Style" w:eastAsia="Bookman Old Style" w:hAnsi="Bookman Old Style" w:cs="Bookman Old Style"/>
              </w:rPr>
            </w:pPr>
            <w:r>
              <w:rPr>
                <w:rFonts w:ascii="Bookman Old Style" w:eastAsia="Bookman Old Style" w:hAnsi="Bookman Old Style" w:cs="Bookman Old Style"/>
                <w:b/>
              </w:rPr>
              <w:lastRenderedPageBreak/>
              <w:t xml:space="preserve">Artículo 5°. Bono Cultural. </w:t>
            </w:r>
            <w:r>
              <w:rPr>
                <w:rFonts w:ascii="Bookman Old Style" w:eastAsia="Bookman Old Style" w:hAnsi="Bookman Old Style" w:cs="Bookman Old Style"/>
              </w:rPr>
              <w:t xml:space="preserve">Créese el Bono Cultural dirigido a todas las personas con nacionalidad colombiana. </w:t>
            </w:r>
            <w:r>
              <w:rPr>
                <w:rFonts w:ascii="Bookman Old Style" w:eastAsia="Bookman Old Style" w:hAnsi="Bookman Old Style" w:cs="Bookman Old Style"/>
              </w:rPr>
              <w:br/>
            </w:r>
            <w:r>
              <w:rPr>
                <w:rFonts w:ascii="Bookman Old Style" w:eastAsia="Bookman Old Style" w:hAnsi="Bookman Old Style" w:cs="Bookman Old Style"/>
              </w:rPr>
              <w:br/>
            </w:r>
            <w:r>
              <w:rPr>
                <w:rFonts w:ascii="Bookman Old Style" w:eastAsia="Bookman Old Style" w:hAnsi="Bookman Old Style" w:cs="Bookman Old Style"/>
              </w:rPr>
              <w:t xml:space="preserve">a. Bono Juvenil. Las personas que cumplan catorce años podrán adquirir los productos y servicios artísticos y culturales de los oferentes autorizados. </w:t>
            </w:r>
            <w:r>
              <w:rPr>
                <w:rFonts w:ascii="Bookman Old Style" w:eastAsia="Bookman Old Style" w:hAnsi="Bookman Old Style" w:cs="Bookman Old Style"/>
              </w:rPr>
              <w:br/>
            </w:r>
            <w:r>
              <w:rPr>
                <w:rFonts w:ascii="Bookman Old Style" w:eastAsia="Bookman Old Style" w:hAnsi="Bookman Old Style" w:cs="Bookman Old Style"/>
              </w:rPr>
              <w:br/>
              <w:t>b. Bono Adulto Mayor. Adultos mayores de poblaciones priorizadas, en el año de solicitud del bono, podr</w:t>
            </w:r>
            <w:r>
              <w:rPr>
                <w:rFonts w:ascii="Bookman Old Style" w:eastAsia="Bookman Old Style" w:hAnsi="Bookman Old Style" w:cs="Bookman Old Style"/>
              </w:rPr>
              <w:t xml:space="preserve">án adquirir los productos y servicios artísticos y culturales de los oferentes autorizados. </w:t>
            </w:r>
            <w:r>
              <w:rPr>
                <w:rFonts w:ascii="Bookman Old Style" w:eastAsia="Bookman Old Style" w:hAnsi="Bookman Old Style" w:cs="Bookman Old Style"/>
              </w:rPr>
              <w:br/>
            </w:r>
            <w:r>
              <w:rPr>
                <w:rFonts w:ascii="Bookman Old Style" w:eastAsia="Bookman Old Style" w:hAnsi="Bookman Old Style" w:cs="Bookman Old Style"/>
              </w:rPr>
              <w:br/>
            </w:r>
            <w:r>
              <w:rPr>
                <w:rFonts w:ascii="Bookman Old Style" w:eastAsia="Bookman Old Style" w:hAnsi="Bookman Old Style" w:cs="Bookman Old Style"/>
                <w:b/>
              </w:rPr>
              <w:t>Parágrafo 1°</w:t>
            </w:r>
            <w:r>
              <w:rPr>
                <w:rFonts w:ascii="Bookman Old Style" w:eastAsia="Bookman Old Style" w:hAnsi="Bookman Old Style" w:cs="Bookman Old Style"/>
              </w:rPr>
              <w:t>. El Gobierno nacional reglamentará los bonos, medios, requisitos de los oferentes y disposición al público para el desarrollo de los programas, estra</w:t>
            </w:r>
            <w:r>
              <w:rPr>
                <w:rFonts w:ascii="Bookman Old Style" w:eastAsia="Bookman Old Style" w:hAnsi="Bookman Old Style" w:cs="Bookman Old Style"/>
              </w:rPr>
              <w:t xml:space="preserve">tegias y proyectos para garantizar el acceso a la Canasta Básica Cultural. </w:t>
            </w:r>
            <w:r>
              <w:rPr>
                <w:rFonts w:ascii="Bookman Old Style" w:eastAsia="Bookman Old Style" w:hAnsi="Bookman Old Style" w:cs="Bookman Old Style"/>
              </w:rPr>
              <w:br/>
            </w:r>
            <w:r>
              <w:rPr>
                <w:rFonts w:ascii="Bookman Old Style" w:eastAsia="Bookman Old Style" w:hAnsi="Bookman Old Style" w:cs="Bookman Old Style"/>
              </w:rPr>
              <w:br/>
            </w:r>
            <w:r>
              <w:rPr>
                <w:rFonts w:ascii="Bookman Old Style" w:eastAsia="Bookman Old Style" w:hAnsi="Bookman Old Style" w:cs="Bookman Old Style"/>
                <w:b/>
              </w:rPr>
              <w:t>Parágrafo 2°</w:t>
            </w:r>
            <w:r>
              <w:rPr>
                <w:rFonts w:ascii="Bookman Old Style" w:eastAsia="Bookman Old Style" w:hAnsi="Bookman Old Style" w:cs="Bookman Old Style"/>
              </w:rPr>
              <w:t xml:space="preserve">. El Gobierno nacional impulsará una estrategia de articulación con la Superintendencia de Subsidio Familiar para la </w:t>
            </w:r>
            <w:r>
              <w:rPr>
                <w:rFonts w:ascii="Bookman Old Style" w:eastAsia="Bookman Old Style" w:hAnsi="Bookman Old Style" w:cs="Bookman Old Style"/>
              </w:rPr>
              <w:lastRenderedPageBreak/>
              <w:t>entrega oportuna del bono cultural en sus dos moda</w:t>
            </w:r>
            <w:r>
              <w:rPr>
                <w:rFonts w:ascii="Bookman Old Style" w:eastAsia="Bookman Old Style" w:hAnsi="Bookman Old Style" w:cs="Bookman Old Style"/>
              </w:rPr>
              <w:t>lidades.</w:t>
            </w:r>
            <w:r>
              <w:rPr>
                <w:rFonts w:ascii="Bookman Old Style" w:eastAsia="Bookman Old Style" w:hAnsi="Bookman Old Style" w:cs="Bookman Old Style"/>
              </w:rPr>
              <w:br/>
            </w:r>
            <w:r>
              <w:rPr>
                <w:rFonts w:ascii="Bookman Old Style" w:eastAsia="Bookman Old Style" w:hAnsi="Bookman Old Style" w:cs="Bookman Old Style"/>
              </w:rPr>
              <w:br/>
            </w:r>
            <w:r>
              <w:rPr>
                <w:rFonts w:ascii="Bookman Old Style" w:eastAsia="Bookman Old Style" w:hAnsi="Bookman Old Style" w:cs="Bookman Old Style"/>
                <w:b/>
              </w:rPr>
              <w:t>Parágrafo 3°</w:t>
            </w:r>
            <w:r>
              <w:rPr>
                <w:rFonts w:ascii="Bookman Old Style" w:eastAsia="Bookman Old Style" w:hAnsi="Bookman Old Style" w:cs="Bookman Old Style"/>
              </w:rPr>
              <w:t>. Cuantías. El valor máximo por derecho de admisión será de tres Unidades de Valor Unitario (3 UVT), sin perjuicio que la reglamentación defina valores menores por estrategia. Se concederá por una sola vez a cada beneficiario y será i</w:t>
            </w:r>
            <w:r>
              <w:rPr>
                <w:rFonts w:ascii="Bookman Old Style" w:eastAsia="Bookman Old Style" w:hAnsi="Bookman Old Style" w:cs="Bookman Old Style"/>
              </w:rPr>
              <w:t>ndividual, personal e intransferible. El monto establecido deberá estar acorde con la Política de austeridad del Gobierno nacional y su implementación sujeta a la situación fiscal del país, en aplicación de los lineamientos de disponibilidad presupuestal e</w:t>
            </w:r>
            <w:r>
              <w:rPr>
                <w:rFonts w:ascii="Bookman Old Style" w:eastAsia="Bookman Old Style" w:hAnsi="Bookman Old Style" w:cs="Bookman Old Style"/>
              </w:rPr>
              <w:t xml:space="preserve">stablecidos en las leyes orgánicas de presupuesto, en consonancia con las previsiones respectivas en el Plan Nacional de Desarrollo, el Marco Fiscal de Mediano Plazo y el Marco de Gasto del respectivo sector. </w:t>
            </w:r>
          </w:p>
          <w:p w:rsidR="00923769" w:rsidRDefault="00923769">
            <w:pPr>
              <w:widowControl w:val="0"/>
              <w:pBdr>
                <w:top w:val="nil"/>
                <w:left w:val="nil"/>
                <w:bottom w:val="nil"/>
                <w:right w:val="nil"/>
                <w:between w:val="nil"/>
              </w:pBdr>
              <w:spacing w:line="240" w:lineRule="auto"/>
              <w:jc w:val="both"/>
              <w:rPr>
                <w:rFonts w:ascii="Bookman Old Style" w:eastAsia="Bookman Old Style" w:hAnsi="Bookman Old Style" w:cs="Bookman Old Style"/>
                <w:b/>
              </w:rPr>
            </w:pPr>
          </w:p>
          <w:p w:rsidR="00923769" w:rsidRDefault="00450620">
            <w:pPr>
              <w:widowControl w:val="0"/>
              <w:pBdr>
                <w:top w:val="nil"/>
                <w:left w:val="nil"/>
                <w:bottom w:val="nil"/>
                <w:right w:val="nil"/>
                <w:between w:val="nil"/>
              </w:pBdr>
              <w:spacing w:line="240" w:lineRule="auto"/>
              <w:jc w:val="both"/>
              <w:rPr>
                <w:rFonts w:ascii="Bookman Old Style" w:eastAsia="Bookman Old Style" w:hAnsi="Bookman Old Style" w:cs="Bookman Old Style"/>
              </w:rPr>
            </w:pPr>
            <w:r>
              <w:rPr>
                <w:rFonts w:ascii="Bookman Old Style" w:eastAsia="Bookman Old Style" w:hAnsi="Bookman Old Style" w:cs="Bookman Old Style"/>
                <w:b/>
              </w:rPr>
              <w:t>Parágrafo 4°</w:t>
            </w:r>
            <w:r>
              <w:rPr>
                <w:rFonts w:ascii="Bookman Old Style" w:eastAsia="Bookman Old Style" w:hAnsi="Bookman Old Style" w:cs="Bookman Old Style"/>
              </w:rPr>
              <w:t>. Oferentes. El Ministerio de Cul</w:t>
            </w:r>
            <w:r>
              <w:rPr>
                <w:rFonts w:ascii="Bookman Old Style" w:eastAsia="Bookman Old Style" w:hAnsi="Bookman Old Style" w:cs="Bookman Old Style"/>
              </w:rPr>
              <w:t>tura fortalecerá las plataformas SoyCultura y PULEP para que las personas naturales y jurídicas se inscriban como oferentes del Bono Cultural, asimismo establecerá los requisitos que deberán cumplir para acreditarse como tales y se articulará con las entid</w:t>
            </w:r>
            <w:r>
              <w:rPr>
                <w:rFonts w:ascii="Bookman Old Style" w:eastAsia="Bookman Old Style" w:hAnsi="Bookman Old Style" w:cs="Bookman Old Style"/>
              </w:rPr>
              <w:t>ades territoriales y autoridades culturales para la implementación de programas. Estas entidades deberán prestar sus servicios en el territorio colombiano y su objeto social debe estar relacionado con la venta o puesta a disposición de productos, servicios</w:t>
            </w:r>
            <w:r>
              <w:rPr>
                <w:rFonts w:ascii="Bookman Old Style" w:eastAsia="Bookman Old Style" w:hAnsi="Bookman Old Style" w:cs="Bookman Old Style"/>
              </w:rPr>
              <w:t xml:space="preserve"> y espacios culturales. Serán oferentes el Ministerio de Cultura y sus </w:t>
            </w:r>
            <w:r>
              <w:rPr>
                <w:rFonts w:ascii="Bookman Old Style" w:eastAsia="Bookman Old Style" w:hAnsi="Bookman Old Style" w:cs="Bookman Old Style"/>
              </w:rPr>
              <w:lastRenderedPageBreak/>
              <w:t>entidades adscritas.</w:t>
            </w:r>
            <w:r>
              <w:rPr>
                <w:rFonts w:ascii="Bookman Old Style" w:eastAsia="Bookman Old Style" w:hAnsi="Bookman Old Style" w:cs="Bookman Old Style"/>
              </w:rPr>
              <w:br/>
            </w:r>
            <w:r>
              <w:rPr>
                <w:rFonts w:ascii="Bookman Old Style" w:eastAsia="Bookman Old Style" w:hAnsi="Bookman Old Style" w:cs="Bookman Old Style"/>
              </w:rPr>
              <w:br/>
            </w:r>
            <w:r>
              <w:rPr>
                <w:rFonts w:ascii="Bookman Old Style" w:eastAsia="Bookman Old Style" w:hAnsi="Bookman Old Style" w:cs="Bookman Old Style"/>
                <w:b/>
              </w:rPr>
              <w:t>Parágrafo 5°</w:t>
            </w:r>
            <w:r>
              <w:rPr>
                <w:rFonts w:ascii="Bookman Old Style" w:eastAsia="Bookman Old Style" w:hAnsi="Bookman Old Style" w:cs="Bookman Old Style"/>
              </w:rPr>
              <w:t>. Productos, servicios y espacios. El Bono Cultural cubrirá los productos, servicios que sean ofrecidos por los oferentes y que desarrollen su objeto s</w:t>
            </w:r>
            <w:r>
              <w:rPr>
                <w:rFonts w:ascii="Bookman Old Style" w:eastAsia="Bookman Old Style" w:hAnsi="Bookman Old Style" w:cs="Bookman Old Style"/>
              </w:rPr>
              <w:t>ocial en las artes escénicas, manifestaciones culturales, artes audiovisuales, productos culturales en soporte físico, y consumo digital o en línea. Quedan excluidos del bono los productos de papelería, equipos, software, hardware, material artístico, inst</w:t>
            </w:r>
            <w:r>
              <w:rPr>
                <w:rFonts w:ascii="Bookman Old Style" w:eastAsia="Bookman Old Style" w:hAnsi="Bookman Old Style" w:cs="Bookman Old Style"/>
              </w:rPr>
              <w:t>rumentos musicales, espectáculos deportivos y taurinos, moda, gastronomía y contenidos pornográficos.</w:t>
            </w:r>
          </w:p>
        </w:tc>
        <w:tc>
          <w:tcPr>
            <w:tcW w:w="3465" w:type="dxa"/>
            <w:shd w:val="clear" w:color="auto" w:fill="auto"/>
            <w:tcMar>
              <w:top w:w="100" w:type="dxa"/>
              <w:left w:w="100" w:type="dxa"/>
              <w:bottom w:w="100" w:type="dxa"/>
              <w:right w:w="100" w:type="dxa"/>
            </w:tcMar>
          </w:tcPr>
          <w:p w:rsidR="00923769" w:rsidRDefault="00450620">
            <w:pPr>
              <w:widowControl w:val="0"/>
              <w:spacing w:line="240" w:lineRule="auto"/>
              <w:jc w:val="both"/>
              <w:rPr>
                <w:rFonts w:ascii="Bookman Old Style" w:eastAsia="Bookman Old Style" w:hAnsi="Bookman Old Style" w:cs="Bookman Old Style"/>
                <w:b/>
              </w:rPr>
            </w:pPr>
            <w:r>
              <w:rPr>
                <w:rFonts w:ascii="Bookman Old Style" w:eastAsia="Bookman Old Style" w:hAnsi="Bookman Old Style" w:cs="Bookman Old Style"/>
                <w:b/>
                <w:sz w:val="23"/>
                <w:szCs w:val="23"/>
              </w:rPr>
              <w:lastRenderedPageBreak/>
              <w:t>Artículo 6. Instrumentos de la Canasta Básica Cultural:</w:t>
            </w:r>
            <w:r>
              <w:rPr>
                <w:b/>
                <w:sz w:val="23"/>
                <w:szCs w:val="23"/>
              </w:rPr>
              <w:t xml:space="preserve"> </w:t>
            </w:r>
            <w:r>
              <w:rPr>
                <w:rFonts w:ascii="Bookman Old Style" w:eastAsia="Bookman Old Style" w:hAnsi="Bookman Old Style" w:cs="Bookman Old Style"/>
              </w:rPr>
              <w:t>El Ministerio de las Culturas, las Artes y los Saberes, y las entidades territoriales encargadas d</w:t>
            </w:r>
            <w:r>
              <w:rPr>
                <w:rFonts w:ascii="Bookman Old Style" w:eastAsia="Bookman Old Style" w:hAnsi="Bookman Old Style" w:cs="Bookman Old Style"/>
              </w:rPr>
              <w:t xml:space="preserve">e la implementación de la política cultural, crearán e implementarán instrumentos innovadores de acceso a la cultura, que harán parte de la Canasta Básica Cultural y desarrollarán pilotos dirigidos a las personas con nacionalidad colombiana habitantes del </w:t>
            </w:r>
            <w:r>
              <w:rPr>
                <w:rFonts w:ascii="Bookman Old Style" w:eastAsia="Bookman Old Style" w:hAnsi="Bookman Old Style" w:cs="Bookman Old Style"/>
              </w:rPr>
              <w:t xml:space="preserve">territorio nacional, como incentivos de acceso a la oferta cultural; que serán definidos, dentro del proceso de reglamentación de la presente ley e implementados gradualmente, según la disponibilidad presupuestal dentro del marco fiscal de mediano plazo y </w:t>
            </w:r>
            <w:r>
              <w:rPr>
                <w:rFonts w:ascii="Bookman Old Style" w:eastAsia="Bookman Old Style" w:hAnsi="Bookman Old Style" w:cs="Bookman Old Style"/>
              </w:rPr>
              <w:t>gestión de cofinanciación complementaria de otras fuentes como la cooperación internacional, la inversión social privada nacional e internacional, la filantropía, las donaciones y los beneficios tributarios en materia de cultura.</w:t>
            </w:r>
            <w:r>
              <w:rPr>
                <w:rFonts w:ascii="Bookman Old Style" w:eastAsia="Bookman Old Style" w:hAnsi="Bookman Old Style" w:cs="Bookman Old Style"/>
                <w:b/>
              </w:rPr>
              <w:t xml:space="preserve"> </w:t>
            </w:r>
          </w:p>
          <w:p w:rsidR="00923769" w:rsidRDefault="00923769">
            <w:pPr>
              <w:widowControl w:val="0"/>
              <w:spacing w:line="240" w:lineRule="auto"/>
              <w:jc w:val="both"/>
              <w:rPr>
                <w:rFonts w:ascii="Bookman Old Style" w:eastAsia="Bookman Old Style" w:hAnsi="Bookman Old Style" w:cs="Bookman Old Style"/>
                <w:b/>
                <w:sz w:val="23"/>
                <w:szCs w:val="23"/>
              </w:rPr>
            </w:pPr>
          </w:p>
          <w:p w:rsidR="00923769" w:rsidRDefault="00450620">
            <w:pPr>
              <w:widowControl w:val="0"/>
              <w:spacing w:line="240" w:lineRule="auto"/>
              <w:jc w:val="both"/>
              <w:rPr>
                <w:rFonts w:ascii="Bookman Old Style" w:eastAsia="Bookman Old Style" w:hAnsi="Bookman Old Style" w:cs="Bookman Old Style"/>
                <w:sz w:val="23"/>
                <w:szCs w:val="23"/>
              </w:rPr>
            </w:pPr>
            <w:r>
              <w:rPr>
                <w:rFonts w:ascii="Bookman Old Style" w:eastAsia="Bookman Old Style" w:hAnsi="Bookman Old Style" w:cs="Bookman Old Style"/>
                <w:b/>
                <w:sz w:val="23"/>
                <w:szCs w:val="23"/>
              </w:rPr>
              <w:lastRenderedPageBreak/>
              <w:t>Parágrafo 1°.</w:t>
            </w:r>
            <w:r>
              <w:rPr>
                <w:rFonts w:ascii="Bookman Old Style" w:eastAsia="Bookman Old Style" w:hAnsi="Bookman Old Style" w:cs="Bookman Old Style"/>
                <w:sz w:val="23"/>
                <w:szCs w:val="23"/>
              </w:rPr>
              <w:t xml:space="preserve"> El Gobiern</w:t>
            </w:r>
            <w:r>
              <w:rPr>
                <w:rFonts w:ascii="Bookman Old Style" w:eastAsia="Bookman Old Style" w:hAnsi="Bookman Old Style" w:cs="Bookman Old Style"/>
                <w:sz w:val="23"/>
                <w:szCs w:val="23"/>
              </w:rPr>
              <w:t>o nacional reglamentará los mecanismos incluidos en la canasta básica cultural, los requisitos de los oferentes y las formas de divulgación al público que permitan el desarrollo de los programas, estrategias y proyectos para garantizar el acceso a la Canas</w:t>
            </w:r>
            <w:r>
              <w:rPr>
                <w:rFonts w:ascii="Bookman Old Style" w:eastAsia="Bookman Old Style" w:hAnsi="Bookman Old Style" w:cs="Bookman Old Style"/>
                <w:sz w:val="23"/>
                <w:szCs w:val="23"/>
              </w:rPr>
              <w:t xml:space="preserve">ta Básica Cultural. </w:t>
            </w:r>
          </w:p>
          <w:p w:rsidR="00923769" w:rsidRDefault="00923769">
            <w:pPr>
              <w:widowControl w:val="0"/>
              <w:spacing w:line="240" w:lineRule="auto"/>
              <w:jc w:val="both"/>
              <w:rPr>
                <w:rFonts w:ascii="Bookman Old Style" w:eastAsia="Bookman Old Style" w:hAnsi="Bookman Old Style" w:cs="Bookman Old Style"/>
                <w:b/>
                <w:sz w:val="23"/>
                <w:szCs w:val="23"/>
              </w:rPr>
            </w:pPr>
          </w:p>
          <w:p w:rsidR="00923769" w:rsidRDefault="00450620">
            <w:pPr>
              <w:widowControl w:val="0"/>
              <w:spacing w:line="240" w:lineRule="auto"/>
              <w:jc w:val="both"/>
              <w:rPr>
                <w:rFonts w:ascii="Bookman Old Style" w:eastAsia="Bookman Old Style" w:hAnsi="Bookman Old Style" w:cs="Bookman Old Style"/>
                <w:sz w:val="23"/>
                <w:szCs w:val="23"/>
              </w:rPr>
            </w:pPr>
            <w:r>
              <w:rPr>
                <w:rFonts w:ascii="Bookman Old Style" w:eastAsia="Bookman Old Style" w:hAnsi="Bookman Old Style" w:cs="Bookman Old Style"/>
                <w:b/>
                <w:sz w:val="23"/>
                <w:szCs w:val="23"/>
              </w:rPr>
              <w:t>Parágrafo 2°.</w:t>
            </w:r>
            <w:r>
              <w:rPr>
                <w:rFonts w:ascii="Bookman Old Style" w:eastAsia="Bookman Old Style" w:hAnsi="Bookman Old Style" w:cs="Bookman Old Style"/>
                <w:sz w:val="23"/>
                <w:szCs w:val="23"/>
              </w:rPr>
              <w:t xml:space="preserve"> El Gobierno Nacional a través del Ministerio de las Culturas, las Artes y los Saberes, impulsará una estrategia de coordinación, articulación, gestión de recursos orientada a resultados y alianzas con diferentes organizaciones, que permitan la cofinanciac</w:t>
            </w:r>
            <w:r>
              <w:rPr>
                <w:rFonts w:ascii="Bookman Old Style" w:eastAsia="Bookman Old Style" w:hAnsi="Bookman Old Style" w:cs="Bookman Old Style"/>
                <w:sz w:val="23"/>
                <w:szCs w:val="23"/>
              </w:rPr>
              <w:t xml:space="preserve">ión de instrumentos de la Canasta Básica Cultural. </w:t>
            </w:r>
          </w:p>
          <w:p w:rsidR="00923769" w:rsidRDefault="00923769">
            <w:pPr>
              <w:widowControl w:val="0"/>
              <w:spacing w:line="240" w:lineRule="auto"/>
              <w:jc w:val="both"/>
              <w:rPr>
                <w:rFonts w:ascii="Bookman Old Style" w:eastAsia="Bookman Old Style" w:hAnsi="Bookman Old Style" w:cs="Bookman Old Style"/>
                <w:b/>
                <w:sz w:val="23"/>
                <w:szCs w:val="23"/>
              </w:rPr>
            </w:pPr>
          </w:p>
          <w:p w:rsidR="00923769" w:rsidRDefault="00450620">
            <w:pPr>
              <w:widowControl w:val="0"/>
              <w:spacing w:line="240" w:lineRule="auto"/>
              <w:jc w:val="both"/>
              <w:rPr>
                <w:rFonts w:ascii="Bookman Old Style" w:eastAsia="Bookman Old Style" w:hAnsi="Bookman Old Style" w:cs="Bookman Old Style"/>
                <w:sz w:val="23"/>
                <w:szCs w:val="23"/>
              </w:rPr>
            </w:pPr>
            <w:r>
              <w:rPr>
                <w:rFonts w:ascii="Bookman Old Style" w:eastAsia="Bookman Old Style" w:hAnsi="Bookman Old Style" w:cs="Bookman Old Style"/>
                <w:b/>
                <w:sz w:val="23"/>
                <w:szCs w:val="23"/>
              </w:rPr>
              <w:t>Parágrafo 3°</w:t>
            </w:r>
            <w:r>
              <w:rPr>
                <w:rFonts w:ascii="Bookman Old Style" w:eastAsia="Bookman Old Style" w:hAnsi="Bookman Old Style" w:cs="Bookman Old Style"/>
                <w:sz w:val="23"/>
                <w:szCs w:val="23"/>
              </w:rPr>
              <w:t>. Oferentes. El Ministerio de las Culturas, las Artes y los Saberes, fortalecerá las plataformas Soy Cultura y PULEP para que las personas naturales y las jurídicas se inscriban como oferentes, asimismo establecerá los requisitos que deberán cumplir para a</w:t>
            </w:r>
            <w:r>
              <w:rPr>
                <w:rFonts w:ascii="Bookman Old Style" w:eastAsia="Bookman Old Style" w:hAnsi="Bookman Old Style" w:cs="Bookman Old Style"/>
                <w:sz w:val="23"/>
                <w:szCs w:val="23"/>
              </w:rPr>
              <w:t>creditarse como tales y se articulará con las entidades territoriales y autoridades culturales para la implementación de programas en el marco del Sistema Nacional de Cultura a que hace referencia la ley 397 de 1997, para la implementación de la Canasta Bá</w:t>
            </w:r>
            <w:r>
              <w:rPr>
                <w:rFonts w:ascii="Bookman Old Style" w:eastAsia="Bookman Old Style" w:hAnsi="Bookman Old Style" w:cs="Bookman Old Style"/>
                <w:sz w:val="23"/>
                <w:szCs w:val="23"/>
              </w:rPr>
              <w:t xml:space="preserve">sica Cultural. Estos oferentes deberán prestar sus servicios en el territorio colombiano y su </w:t>
            </w:r>
            <w:r>
              <w:rPr>
                <w:rFonts w:ascii="Bookman Old Style" w:eastAsia="Bookman Old Style" w:hAnsi="Bookman Old Style" w:cs="Bookman Old Style"/>
                <w:sz w:val="23"/>
                <w:szCs w:val="23"/>
              </w:rPr>
              <w:lastRenderedPageBreak/>
              <w:t>objeto social debe estar relacionado con la experiencia para la puesta a disposición de bienes, productos, servicios y espacios culturales. Serán oferentes el Min</w:t>
            </w:r>
            <w:r>
              <w:rPr>
                <w:rFonts w:ascii="Bookman Old Style" w:eastAsia="Bookman Old Style" w:hAnsi="Bookman Old Style" w:cs="Bookman Old Style"/>
                <w:sz w:val="23"/>
                <w:szCs w:val="23"/>
              </w:rPr>
              <w:t xml:space="preserve">isterio de las Culturas, las Artes y los Saberes, las entidades adscritas y las entidades territoriales, entre otros. </w:t>
            </w:r>
          </w:p>
          <w:p w:rsidR="00923769" w:rsidRDefault="00923769">
            <w:pPr>
              <w:widowControl w:val="0"/>
              <w:spacing w:line="240" w:lineRule="auto"/>
              <w:jc w:val="both"/>
              <w:rPr>
                <w:rFonts w:ascii="Bookman Old Style" w:eastAsia="Bookman Old Style" w:hAnsi="Bookman Old Style" w:cs="Bookman Old Style"/>
                <w:b/>
                <w:sz w:val="23"/>
                <w:szCs w:val="23"/>
              </w:rPr>
            </w:pPr>
          </w:p>
          <w:p w:rsidR="00923769" w:rsidRDefault="00450620">
            <w:pPr>
              <w:widowControl w:val="0"/>
              <w:spacing w:line="240" w:lineRule="auto"/>
              <w:jc w:val="both"/>
              <w:rPr>
                <w:rFonts w:ascii="Bookman Old Style" w:eastAsia="Bookman Old Style" w:hAnsi="Bookman Old Style" w:cs="Bookman Old Style"/>
                <w:sz w:val="23"/>
                <w:szCs w:val="23"/>
              </w:rPr>
            </w:pPr>
            <w:r>
              <w:rPr>
                <w:rFonts w:ascii="Bookman Old Style" w:eastAsia="Bookman Old Style" w:hAnsi="Bookman Old Style" w:cs="Bookman Old Style"/>
                <w:b/>
                <w:sz w:val="23"/>
                <w:szCs w:val="23"/>
              </w:rPr>
              <w:t>Parágrafo 4</w:t>
            </w:r>
            <w:r>
              <w:rPr>
                <w:rFonts w:ascii="Bookman Old Style" w:eastAsia="Bookman Old Style" w:hAnsi="Bookman Old Style" w:cs="Bookman Old Style"/>
                <w:sz w:val="23"/>
                <w:szCs w:val="23"/>
              </w:rPr>
              <w:t>°. Productos, servicios y espacios. Los instrumentos de la Canasta Básica Cultural cubrirán el acceso a las ofertas culturale</w:t>
            </w:r>
            <w:r>
              <w:rPr>
                <w:rFonts w:ascii="Bookman Old Style" w:eastAsia="Bookman Old Style" w:hAnsi="Bookman Old Style" w:cs="Bookman Old Style"/>
                <w:sz w:val="23"/>
                <w:szCs w:val="23"/>
              </w:rPr>
              <w:t>s, los servicios ofertados por los oferentes que desarrollen su objeto social en las artes escénicas, manifestaciones culturales, artes audiovisuales, productos culturales en soporte físico, y consumo digital o en línea. Quedan excluidos de los instrumento</w:t>
            </w:r>
            <w:r>
              <w:rPr>
                <w:rFonts w:ascii="Bookman Old Style" w:eastAsia="Bookman Old Style" w:hAnsi="Bookman Old Style" w:cs="Bookman Old Style"/>
                <w:sz w:val="23"/>
                <w:szCs w:val="23"/>
              </w:rPr>
              <w:t xml:space="preserve">s de acceso cultural los productos de papelería, equipos, software, hardware, material artístico, instrumentos musicales, espectáculos deportivos y todos aquellos que conlleven maltrato animal, moda y gastronomía. Se restringirá el acceso, visualización y </w:t>
            </w:r>
            <w:r>
              <w:rPr>
                <w:rFonts w:ascii="Bookman Old Style" w:eastAsia="Bookman Old Style" w:hAnsi="Bookman Old Style" w:cs="Bookman Old Style"/>
                <w:sz w:val="23"/>
                <w:szCs w:val="23"/>
              </w:rPr>
              <w:t>consulta de material con contenido pornográfico en cualquier edad.</w:t>
            </w:r>
          </w:p>
          <w:p w:rsidR="00923769" w:rsidRDefault="00450620">
            <w:pPr>
              <w:widowControl w:val="0"/>
              <w:spacing w:line="240" w:lineRule="auto"/>
              <w:jc w:val="both"/>
              <w:rPr>
                <w:rFonts w:ascii="Bookman Old Style" w:eastAsia="Bookman Old Style" w:hAnsi="Bookman Old Style" w:cs="Bookman Old Style"/>
                <w:sz w:val="23"/>
                <w:szCs w:val="23"/>
              </w:rPr>
            </w:pPr>
            <w:r>
              <w:rPr>
                <w:rFonts w:ascii="Bookman Old Style" w:eastAsia="Bookman Old Style" w:hAnsi="Bookman Old Style" w:cs="Bookman Old Style"/>
                <w:sz w:val="23"/>
                <w:szCs w:val="23"/>
              </w:rPr>
              <w:t xml:space="preserve"> </w:t>
            </w:r>
          </w:p>
          <w:p w:rsidR="00923769" w:rsidRDefault="00450620">
            <w:pPr>
              <w:widowControl w:val="0"/>
              <w:spacing w:line="240" w:lineRule="auto"/>
              <w:jc w:val="both"/>
              <w:rPr>
                <w:rFonts w:ascii="Bookman Old Style" w:eastAsia="Bookman Old Style" w:hAnsi="Bookman Old Style" w:cs="Bookman Old Style"/>
                <w:sz w:val="23"/>
                <w:szCs w:val="23"/>
              </w:rPr>
            </w:pPr>
            <w:r>
              <w:rPr>
                <w:rFonts w:ascii="Bookman Old Style" w:eastAsia="Bookman Old Style" w:hAnsi="Bookman Old Style" w:cs="Bookman Old Style"/>
                <w:b/>
                <w:sz w:val="23"/>
                <w:szCs w:val="23"/>
              </w:rPr>
              <w:t>Parágrafo 5°</w:t>
            </w:r>
            <w:r>
              <w:rPr>
                <w:rFonts w:ascii="Bookman Old Style" w:eastAsia="Bookman Old Style" w:hAnsi="Bookman Old Style" w:cs="Bookman Old Style"/>
                <w:sz w:val="23"/>
                <w:szCs w:val="23"/>
              </w:rPr>
              <w:t>. El Ministerio de las Culturas, Artes y los Saberes, el Ministerio de Trabajo, el Ministerio de las Tecnologías de la Información y de las Comunicaciones, el Ministerio de Co</w:t>
            </w:r>
            <w:r>
              <w:rPr>
                <w:rFonts w:ascii="Bookman Old Style" w:eastAsia="Bookman Old Style" w:hAnsi="Bookman Old Style" w:cs="Bookman Old Style"/>
                <w:sz w:val="23"/>
                <w:szCs w:val="23"/>
              </w:rPr>
              <w:t xml:space="preserve">mercio y Turismo y el Departamento </w:t>
            </w:r>
            <w:r>
              <w:rPr>
                <w:rFonts w:ascii="Bookman Old Style" w:eastAsia="Bookman Old Style" w:hAnsi="Bookman Old Style" w:cs="Bookman Old Style"/>
                <w:sz w:val="23"/>
                <w:szCs w:val="23"/>
              </w:rPr>
              <w:lastRenderedPageBreak/>
              <w:t>Administrativo Nacional de Estadística, en coordinación con las entidades territoriales implementarán estrategias tendientes a establecer las siguientes medidas para brindar facilidades a los actores culturales:</w:t>
            </w:r>
          </w:p>
          <w:p w:rsidR="00923769" w:rsidRDefault="00923769">
            <w:pPr>
              <w:widowControl w:val="0"/>
              <w:spacing w:line="240" w:lineRule="auto"/>
              <w:jc w:val="both"/>
              <w:rPr>
                <w:rFonts w:ascii="Bookman Old Style" w:eastAsia="Bookman Old Style" w:hAnsi="Bookman Old Style" w:cs="Bookman Old Style"/>
                <w:sz w:val="23"/>
                <w:szCs w:val="23"/>
              </w:rPr>
            </w:pPr>
          </w:p>
          <w:p w:rsidR="00923769" w:rsidRDefault="00450620">
            <w:pPr>
              <w:widowControl w:val="0"/>
              <w:spacing w:line="240" w:lineRule="auto"/>
              <w:ind w:left="360"/>
              <w:jc w:val="both"/>
              <w:rPr>
                <w:rFonts w:ascii="Bookman Old Style" w:eastAsia="Bookman Old Style" w:hAnsi="Bookman Old Style" w:cs="Bookman Old Style"/>
                <w:sz w:val="23"/>
                <w:szCs w:val="23"/>
              </w:rPr>
            </w:pPr>
            <w:r>
              <w:rPr>
                <w:rFonts w:ascii="Bookman Old Style" w:eastAsia="Bookman Old Style" w:hAnsi="Bookman Old Style" w:cs="Bookman Old Style"/>
                <w:sz w:val="23"/>
                <w:szCs w:val="23"/>
              </w:rPr>
              <w:t>a)</w:t>
            </w:r>
            <w:r>
              <w:rPr>
                <w:rFonts w:ascii="Bookman Old Style" w:eastAsia="Bookman Old Style" w:hAnsi="Bookman Old Style" w:cs="Bookman Old Style"/>
                <w:sz w:val="14"/>
                <w:szCs w:val="14"/>
              </w:rPr>
              <w:tab/>
            </w:r>
            <w:r>
              <w:rPr>
                <w:rFonts w:ascii="Bookman Old Style" w:eastAsia="Bookman Old Style" w:hAnsi="Bookman Old Style" w:cs="Bookman Old Style"/>
                <w:sz w:val="23"/>
                <w:szCs w:val="23"/>
              </w:rPr>
              <w:t>Reali</w:t>
            </w:r>
            <w:r>
              <w:rPr>
                <w:rFonts w:ascii="Bookman Old Style" w:eastAsia="Bookman Old Style" w:hAnsi="Bookman Old Style" w:cs="Bookman Old Style"/>
                <w:sz w:val="23"/>
                <w:szCs w:val="23"/>
              </w:rPr>
              <w:t>zar una caracterización detallada de todas las expresiones culturales presentes en el país, incluyendo manifestaciones artísticas, tradiciones populares, costumbres regionales y prácticas informales.</w:t>
            </w:r>
          </w:p>
          <w:p w:rsidR="00923769" w:rsidRDefault="00450620">
            <w:pPr>
              <w:widowControl w:val="0"/>
              <w:spacing w:line="240" w:lineRule="auto"/>
              <w:ind w:left="360"/>
              <w:jc w:val="both"/>
              <w:rPr>
                <w:rFonts w:ascii="Bookman Old Style" w:eastAsia="Bookman Old Style" w:hAnsi="Bookman Old Style" w:cs="Bookman Old Style"/>
                <w:sz w:val="23"/>
                <w:szCs w:val="23"/>
              </w:rPr>
            </w:pPr>
            <w:r>
              <w:rPr>
                <w:rFonts w:ascii="Bookman Old Style" w:eastAsia="Bookman Old Style" w:hAnsi="Bookman Old Style" w:cs="Bookman Old Style"/>
                <w:sz w:val="23"/>
                <w:szCs w:val="23"/>
              </w:rPr>
              <w:t>b)</w:t>
            </w:r>
            <w:r>
              <w:rPr>
                <w:rFonts w:ascii="Bookman Old Style" w:eastAsia="Bookman Old Style" w:hAnsi="Bookman Old Style" w:cs="Bookman Old Style"/>
                <w:sz w:val="14"/>
                <w:szCs w:val="14"/>
              </w:rPr>
              <w:t xml:space="preserve">    </w:t>
            </w:r>
            <w:r>
              <w:rPr>
                <w:rFonts w:ascii="Bookman Old Style" w:eastAsia="Bookman Old Style" w:hAnsi="Bookman Old Style" w:cs="Bookman Old Style"/>
                <w:sz w:val="23"/>
                <w:szCs w:val="23"/>
              </w:rPr>
              <w:t xml:space="preserve">Diseñar una ruta específica para la formalización </w:t>
            </w:r>
            <w:r>
              <w:rPr>
                <w:rFonts w:ascii="Bookman Old Style" w:eastAsia="Bookman Old Style" w:hAnsi="Bookman Old Style" w:cs="Bookman Old Style"/>
                <w:sz w:val="23"/>
                <w:szCs w:val="23"/>
              </w:rPr>
              <w:t>laboral de las expresiones culturales informales.  Esta ruta facilitará el acceso a los derechos laborales que correspondan a cada actividad, garantizando un marco legal adecuado y promoviendo la estabilidad y reconocimiento de los trabajadores culturales.</w:t>
            </w:r>
          </w:p>
          <w:p w:rsidR="00923769" w:rsidRDefault="00450620">
            <w:pPr>
              <w:widowControl w:val="0"/>
              <w:spacing w:line="240" w:lineRule="auto"/>
              <w:ind w:left="360"/>
              <w:jc w:val="both"/>
              <w:rPr>
                <w:rFonts w:ascii="Bookman Old Style" w:eastAsia="Bookman Old Style" w:hAnsi="Bookman Old Style" w:cs="Bookman Old Style"/>
                <w:sz w:val="23"/>
                <w:szCs w:val="23"/>
              </w:rPr>
            </w:pPr>
            <w:r>
              <w:rPr>
                <w:rFonts w:ascii="Bookman Old Style" w:eastAsia="Bookman Old Style" w:hAnsi="Bookman Old Style" w:cs="Bookman Old Style"/>
                <w:sz w:val="23"/>
                <w:szCs w:val="23"/>
              </w:rPr>
              <w:t>c)</w:t>
            </w:r>
            <w:r>
              <w:rPr>
                <w:rFonts w:ascii="Bookman Old Style" w:eastAsia="Bookman Old Style" w:hAnsi="Bookman Old Style" w:cs="Bookman Old Style"/>
                <w:sz w:val="14"/>
                <w:szCs w:val="14"/>
              </w:rPr>
              <w:t xml:space="preserve">    </w:t>
            </w:r>
            <w:r>
              <w:rPr>
                <w:rFonts w:ascii="Bookman Old Style" w:eastAsia="Bookman Old Style" w:hAnsi="Bookman Old Style" w:cs="Bookman Old Style"/>
                <w:sz w:val="23"/>
                <w:szCs w:val="23"/>
              </w:rPr>
              <w:t xml:space="preserve">Desarrollar estrategias digitales innovadoras.  Estas estrategias permitirán a los actores que forman parte de la Canasta Básica Cultural, promocionar y ofertar sus emprendimientos.  Estas iniciativas digitales se enfocarán en ferias, convenciones, </w:t>
            </w:r>
            <w:r>
              <w:rPr>
                <w:rFonts w:ascii="Bookman Old Style" w:eastAsia="Bookman Old Style" w:hAnsi="Bookman Old Style" w:cs="Bookman Old Style"/>
                <w:sz w:val="23"/>
                <w:szCs w:val="23"/>
              </w:rPr>
              <w:t xml:space="preserve">ruedas de negocios, conciertos y demás eventos culturales, fortaleciendo la presencia y participación de la cultura en diversas </w:t>
            </w:r>
            <w:r>
              <w:rPr>
                <w:rFonts w:ascii="Bookman Old Style" w:eastAsia="Bookman Old Style" w:hAnsi="Bookman Old Style" w:cs="Bookman Old Style"/>
                <w:sz w:val="23"/>
                <w:szCs w:val="23"/>
              </w:rPr>
              <w:lastRenderedPageBreak/>
              <w:t>plataformas y actividades.</w:t>
            </w:r>
          </w:p>
          <w:p w:rsidR="00923769" w:rsidRDefault="00450620">
            <w:pPr>
              <w:widowControl w:val="0"/>
              <w:spacing w:line="240" w:lineRule="auto"/>
              <w:ind w:left="360"/>
              <w:jc w:val="both"/>
              <w:rPr>
                <w:rFonts w:ascii="Bookman Old Style" w:eastAsia="Bookman Old Style" w:hAnsi="Bookman Old Style" w:cs="Bookman Old Style"/>
                <w:b/>
              </w:rPr>
            </w:pPr>
            <w:r>
              <w:rPr>
                <w:rFonts w:ascii="Bookman Old Style" w:eastAsia="Bookman Old Style" w:hAnsi="Bookman Old Style" w:cs="Bookman Old Style"/>
                <w:sz w:val="23"/>
                <w:szCs w:val="23"/>
              </w:rPr>
              <w:t>d)</w:t>
            </w:r>
            <w:r>
              <w:rPr>
                <w:rFonts w:ascii="Bookman Old Style" w:eastAsia="Bookman Old Style" w:hAnsi="Bookman Old Style" w:cs="Bookman Old Style"/>
                <w:sz w:val="14"/>
                <w:szCs w:val="14"/>
              </w:rPr>
              <w:tab/>
            </w:r>
            <w:r>
              <w:rPr>
                <w:rFonts w:ascii="Bookman Old Style" w:eastAsia="Bookman Old Style" w:hAnsi="Bookman Old Style" w:cs="Bookman Old Style"/>
                <w:sz w:val="23"/>
                <w:szCs w:val="23"/>
              </w:rPr>
              <w:t>Liderar una estrategia que permita impulsar la Canasta Básica Cultural de forma transversal, a tra</w:t>
            </w:r>
            <w:r>
              <w:rPr>
                <w:rFonts w:ascii="Bookman Old Style" w:eastAsia="Bookman Old Style" w:hAnsi="Bookman Old Style" w:cs="Bookman Old Style"/>
                <w:sz w:val="23"/>
                <w:szCs w:val="23"/>
              </w:rPr>
              <w:t>vés de todas las entidades de carácter nacional y territorial, abarcando desde la cultura cívica, la cultura organizacional, la cultura de la legalidad, la cultura financiera, la cultura de la ética, entre otras.</w:t>
            </w:r>
          </w:p>
        </w:tc>
        <w:tc>
          <w:tcPr>
            <w:tcW w:w="1995" w:type="dxa"/>
            <w:shd w:val="clear" w:color="auto" w:fill="auto"/>
            <w:tcMar>
              <w:top w:w="100" w:type="dxa"/>
              <w:left w:w="100" w:type="dxa"/>
              <w:bottom w:w="100" w:type="dxa"/>
              <w:right w:w="100" w:type="dxa"/>
            </w:tcMar>
          </w:tcPr>
          <w:p w:rsidR="00923769" w:rsidRDefault="00450620">
            <w:pPr>
              <w:widowControl w:val="0"/>
              <w:spacing w:line="240" w:lineRule="auto"/>
              <w:rPr>
                <w:rFonts w:ascii="Bookman Old Style" w:eastAsia="Bookman Old Style" w:hAnsi="Bookman Old Style" w:cs="Bookman Old Style"/>
                <w:b/>
              </w:rPr>
            </w:pPr>
            <w:r>
              <w:rPr>
                <w:rFonts w:ascii="Bookman Old Style" w:eastAsia="Bookman Old Style" w:hAnsi="Bookman Old Style" w:cs="Bookman Old Style"/>
              </w:rPr>
              <w:lastRenderedPageBreak/>
              <w:t xml:space="preserve">Se acoge el texto aprobado en Senado </w:t>
            </w:r>
          </w:p>
        </w:tc>
      </w:tr>
      <w:tr w:rsidR="00923769">
        <w:tc>
          <w:tcPr>
            <w:tcW w:w="3540" w:type="dxa"/>
            <w:shd w:val="clear" w:color="auto" w:fill="auto"/>
            <w:tcMar>
              <w:top w:w="100" w:type="dxa"/>
              <w:left w:w="100" w:type="dxa"/>
              <w:bottom w:w="100" w:type="dxa"/>
              <w:right w:w="100" w:type="dxa"/>
            </w:tcMar>
          </w:tcPr>
          <w:p w:rsidR="00923769" w:rsidRDefault="00450620">
            <w:pPr>
              <w:widowControl w:val="0"/>
              <w:pBdr>
                <w:top w:val="nil"/>
                <w:left w:val="nil"/>
                <w:bottom w:val="nil"/>
                <w:right w:val="nil"/>
                <w:between w:val="nil"/>
              </w:pBdr>
              <w:spacing w:line="240" w:lineRule="auto"/>
              <w:jc w:val="both"/>
              <w:rPr>
                <w:rFonts w:ascii="Bookman Old Style" w:eastAsia="Bookman Old Style" w:hAnsi="Bookman Old Style" w:cs="Bookman Old Style"/>
              </w:rPr>
            </w:pPr>
            <w:r>
              <w:rPr>
                <w:rFonts w:ascii="Bookman Old Style" w:eastAsia="Bookman Old Style" w:hAnsi="Bookman Old Style" w:cs="Bookman Old Style"/>
                <w:b/>
              </w:rPr>
              <w:lastRenderedPageBreak/>
              <w:t xml:space="preserve">Artículo 6°. Formación para la apropiación y uso crítico de la oferta cultural y artística. </w:t>
            </w:r>
            <w:r>
              <w:rPr>
                <w:rFonts w:ascii="Bookman Old Style" w:eastAsia="Bookman Old Style" w:hAnsi="Bookman Old Style" w:cs="Bookman Old Style"/>
              </w:rPr>
              <w:t xml:space="preserve">Los procesos formativos y educativos promoverán la valoración, el disfrute y el aprovechamiento de los actos y expresiones creativas y culturales como partes de la </w:t>
            </w:r>
            <w:r>
              <w:rPr>
                <w:rFonts w:ascii="Bookman Old Style" w:eastAsia="Bookman Old Style" w:hAnsi="Bookman Old Style" w:cs="Bookman Old Style"/>
              </w:rPr>
              <w:t xml:space="preserve">identidad y la manifestación de la diversidad cultural local, regional y nacional, a través de un enfoque poblacional diferenciado, con especial énfasis en primera infancia, infancia, adolescencia, estudiantes de todos los niveles educativos y formativos, </w:t>
            </w:r>
            <w:r>
              <w:rPr>
                <w:rFonts w:ascii="Bookman Old Style" w:eastAsia="Bookman Old Style" w:hAnsi="Bookman Old Style" w:cs="Bookman Old Style"/>
              </w:rPr>
              <w:t>y poblaciones vulnerables. Esta formación buscará impactar a públicos y audiencias nuevas y existentes. Para la formación de nuevos públicos, RTVC Sistema de Medios Públicos y el Ministerio de Cultura, implementarán contenidos educativos en entornos digita</w:t>
            </w:r>
            <w:r>
              <w:rPr>
                <w:rFonts w:ascii="Bookman Old Style" w:eastAsia="Bookman Old Style" w:hAnsi="Bookman Old Style" w:cs="Bookman Old Style"/>
              </w:rPr>
              <w:t xml:space="preserve">les; campañas de radio y digitales dirigidas a primera infancia, infancia, adolescencia, estudiantes de todos los niveles educativos y formativos, y poblaciones vulnerables; asimismo una oferta formativa para la apreciación amplia de las artes </w:t>
            </w:r>
            <w:r>
              <w:rPr>
                <w:rFonts w:ascii="Bookman Old Style" w:eastAsia="Bookman Old Style" w:hAnsi="Bookman Old Style" w:cs="Bookman Old Style"/>
              </w:rPr>
              <w:lastRenderedPageBreak/>
              <w:t>a través del</w:t>
            </w:r>
            <w:r>
              <w:rPr>
                <w:rFonts w:ascii="Bookman Old Style" w:eastAsia="Bookman Old Style" w:hAnsi="Bookman Old Style" w:cs="Bookman Old Style"/>
              </w:rPr>
              <w:t xml:space="preserve"> Sinefac.</w:t>
            </w:r>
          </w:p>
        </w:tc>
        <w:tc>
          <w:tcPr>
            <w:tcW w:w="3465" w:type="dxa"/>
            <w:shd w:val="clear" w:color="auto" w:fill="auto"/>
            <w:tcMar>
              <w:top w:w="100" w:type="dxa"/>
              <w:left w:w="100" w:type="dxa"/>
              <w:bottom w:w="100" w:type="dxa"/>
              <w:right w:w="100" w:type="dxa"/>
            </w:tcMar>
          </w:tcPr>
          <w:p w:rsidR="00923769" w:rsidRDefault="00450620">
            <w:pPr>
              <w:widowControl w:val="0"/>
              <w:spacing w:line="240" w:lineRule="auto"/>
              <w:jc w:val="both"/>
              <w:rPr>
                <w:rFonts w:ascii="Bookman Old Style" w:eastAsia="Bookman Old Style" w:hAnsi="Bookman Old Style" w:cs="Bookman Old Style"/>
                <w:sz w:val="23"/>
                <w:szCs w:val="23"/>
              </w:rPr>
            </w:pPr>
            <w:r>
              <w:rPr>
                <w:rFonts w:ascii="Bookman Old Style" w:eastAsia="Bookman Old Style" w:hAnsi="Bookman Old Style" w:cs="Bookman Old Style"/>
                <w:b/>
              </w:rPr>
              <w:lastRenderedPageBreak/>
              <w:t>Artículo 7°. Formación y gestión de audiencias:</w:t>
            </w:r>
            <w:r>
              <w:rPr>
                <w:b/>
                <w:sz w:val="23"/>
                <w:szCs w:val="23"/>
              </w:rPr>
              <w:t xml:space="preserve"> </w:t>
            </w:r>
            <w:r>
              <w:rPr>
                <w:rFonts w:ascii="Bookman Old Style" w:eastAsia="Bookman Old Style" w:hAnsi="Bookman Old Style" w:cs="Bookman Old Style"/>
                <w:sz w:val="23"/>
                <w:szCs w:val="23"/>
              </w:rPr>
              <w:t xml:space="preserve">Los procesos formativos y educativos promoverán la valoración, el disfrute y el aprovechamiento de los actos y expresiones creativas y culturales como parte de la identidad y la manifestación de la </w:t>
            </w:r>
            <w:r>
              <w:rPr>
                <w:rFonts w:ascii="Bookman Old Style" w:eastAsia="Bookman Old Style" w:hAnsi="Bookman Old Style" w:cs="Bookman Old Style"/>
                <w:sz w:val="23"/>
                <w:szCs w:val="23"/>
              </w:rPr>
              <w:t>diversidad cultural local, regional y nacional, a través de un enfoque poblacional diferenciado, con especial énfasis en primera infancia, infancia, adolescencia, estudiantes de todos los niveles educativos y formativos, y poblaciones vulnerables. Esta for</w:t>
            </w:r>
            <w:r>
              <w:rPr>
                <w:rFonts w:ascii="Bookman Old Style" w:eastAsia="Bookman Old Style" w:hAnsi="Bookman Old Style" w:cs="Bookman Old Style"/>
                <w:sz w:val="23"/>
                <w:szCs w:val="23"/>
              </w:rPr>
              <w:t xml:space="preserve">mación buscará impactar a públicos y audiencias nuevas y existentes. </w:t>
            </w:r>
          </w:p>
          <w:p w:rsidR="00923769" w:rsidRDefault="00923769">
            <w:pPr>
              <w:widowControl w:val="0"/>
              <w:spacing w:line="240" w:lineRule="auto"/>
              <w:jc w:val="both"/>
              <w:rPr>
                <w:rFonts w:ascii="Bookman Old Style" w:eastAsia="Bookman Old Style" w:hAnsi="Bookman Old Style" w:cs="Bookman Old Style"/>
                <w:sz w:val="23"/>
                <w:szCs w:val="23"/>
                <w:highlight w:val="white"/>
              </w:rPr>
            </w:pPr>
          </w:p>
          <w:p w:rsidR="00923769" w:rsidRDefault="00450620">
            <w:pPr>
              <w:widowControl w:val="0"/>
              <w:spacing w:line="240" w:lineRule="auto"/>
              <w:jc w:val="both"/>
              <w:rPr>
                <w:rFonts w:ascii="Bookman Old Style" w:eastAsia="Bookman Old Style" w:hAnsi="Bookman Old Style" w:cs="Bookman Old Style"/>
                <w:b/>
              </w:rPr>
            </w:pPr>
            <w:r>
              <w:rPr>
                <w:rFonts w:ascii="Bookman Old Style" w:eastAsia="Bookman Old Style" w:hAnsi="Bookman Old Style" w:cs="Bookman Old Style"/>
                <w:sz w:val="23"/>
                <w:szCs w:val="23"/>
                <w:highlight w:val="white"/>
              </w:rPr>
              <w:t>Para la formación de nuevos públicos el Ministerio de las Culturas, las Artes y los Saberes, creará una oferta de contenido educativo en entornos digitales; dirigida a la primera infancia, niños, niñas, adolescentes y estudiantes de todos los niveles educa</w:t>
            </w:r>
            <w:r>
              <w:rPr>
                <w:rFonts w:ascii="Bookman Old Style" w:eastAsia="Bookman Old Style" w:hAnsi="Bookman Old Style" w:cs="Bookman Old Style"/>
                <w:sz w:val="23"/>
                <w:szCs w:val="23"/>
                <w:highlight w:val="white"/>
              </w:rPr>
              <w:t xml:space="preserve">tivos y formativos, adultos mayores y poblaciones vulnerables; así mismo, una oferta </w:t>
            </w:r>
            <w:r>
              <w:rPr>
                <w:rFonts w:ascii="Bookman Old Style" w:eastAsia="Bookman Old Style" w:hAnsi="Bookman Old Style" w:cs="Bookman Old Style"/>
                <w:sz w:val="23"/>
                <w:szCs w:val="23"/>
                <w:highlight w:val="white"/>
              </w:rPr>
              <w:lastRenderedPageBreak/>
              <w:t>formativa para la apreciación amplia de las artes a través del Sinefac. Esta oferta será divulgada con apoyo de RTVC sistema de medios públicos</w:t>
            </w:r>
          </w:p>
        </w:tc>
        <w:tc>
          <w:tcPr>
            <w:tcW w:w="1995" w:type="dxa"/>
            <w:shd w:val="clear" w:color="auto" w:fill="auto"/>
            <w:tcMar>
              <w:top w:w="100" w:type="dxa"/>
              <w:left w:w="100" w:type="dxa"/>
              <w:bottom w:w="100" w:type="dxa"/>
              <w:right w:w="100" w:type="dxa"/>
            </w:tcMar>
          </w:tcPr>
          <w:p w:rsidR="00923769" w:rsidRDefault="00450620">
            <w:pPr>
              <w:widowControl w:val="0"/>
              <w:spacing w:line="240" w:lineRule="auto"/>
              <w:rPr>
                <w:rFonts w:ascii="Bookman Old Style" w:eastAsia="Bookman Old Style" w:hAnsi="Bookman Old Style" w:cs="Bookman Old Style"/>
                <w:b/>
              </w:rPr>
            </w:pPr>
            <w:r>
              <w:rPr>
                <w:rFonts w:ascii="Bookman Old Style" w:eastAsia="Bookman Old Style" w:hAnsi="Bookman Old Style" w:cs="Bookman Old Style"/>
              </w:rPr>
              <w:lastRenderedPageBreak/>
              <w:t xml:space="preserve">Se acoge el texto aprobado </w:t>
            </w:r>
            <w:r>
              <w:rPr>
                <w:rFonts w:ascii="Bookman Old Style" w:eastAsia="Bookman Old Style" w:hAnsi="Bookman Old Style" w:cs="Bookman Old Style"/>
              </w:rPr>
              <w:t xml:space="preserve">en Senado </w:t>
            </w:r>
          </w:p>
        </w:tc>
      </w:tr>
      <w:tr w:rsidR="00923769">
        <w:tc>
          <w:tcPr>
            <w:tcW w:w="3540" w:type="dxa"/>
            <w:shd w:val="clear" w:color="auto" w:fill="auto"/>
            <w:tcMar>
              <w:top w:w="100" w:type="dxa"/>
              <w:left w:w="100" w:type="dxa"/>
              <w:bottom w:w="100" w:type="dxa"/>
              <w:right w:w="100" w:type="dxa"/>
            </w:tcMar>
          </w:tcPr>
          <w:p w:rsidR="00923769" w:rsidRDefault="00450620">
            <w:pPr>
              <w:widowControl w:val="0"/>
              <w:pBdr>
                <w:top w:val="nil"/>
                <w:left w:val="nil"/>
                <w:bottom w:val="nil"/>
                <w:right w:val="nil"/>
                <w:between w:val="nil"/>
              </w:pBdr>
              <w:spacing w:line="240" w:lineRule="auto"/>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7°. Consumo Cultural Local. </w:t>
            </w:r>
            <w:r>
              <w:rPr>
                <w:rFonts w:ascii="Bookman Old Style" w:eastAsia="Bookman Old Style" w:hAnsi="Bookman Old Style" w:cs="Bookman Old Style"/>
              </w:rPr>
              <w:t>El Ministerio de Cultura o quien haga sus veces, con el apoyo del Ministerio de Comercio, Industria y Turismo, creará una estrategia para fomentar el consumo cultural local, en articulación con los entes ter</w:t>
            </w:r>
            <w:r>
              <w:rPr>
                <w:rFonts w:ascii="Bookman Old Style" w:eastAsia="Bookman Old Style" w:hAnsi="Bookman Old Style" w:cs="Bookman Old Style"/>
              </w:rPr>
              <w:t>ritoriales, las autoridades locales de cultura y agentes de la sociedad civil, se aportarán recursos públicos de los niveles local y regional, y se buscarán recursos provenientes del sector privado y de cooperación internacional, para promover portafolios,</w:t>
            </w:r>
            <w:r>
              <w:rPr>
                <w:rFonts w:ascii="Bookman Old Style" w:eastAsia="Bookman Old Style" w:hAnsi="Bookman Old Style" w:cs="Bookman Old Style"/>
              </w:rPr>
              <w:t xml:space="preserve"> subsidios y alianzas públicas y privadas, entre otros, que generen incentivos a los públicos existentes y nuevos para acceder a productos, servicios y espacios artísticos, culturales y creativos locales, regionales y nacionales de Colombia</w:t>
            </w:r>
          </w:p>
        </w:tc>
        <w:tc>
          <w:tcPr>
            <w:tcW w:w="3465" w:type="dxa"/>
            <w:shd w:val="clear" w:color="auto" w:fill="auto"/>
            <w:tcMar>
              <w:top w:w="100" w:type="dxa"/>
              <w:left w:w="100" w:type="dxa"/>
              <w:bottom w:w="100" w:type="dxa"/>
              <w:right w:w="100" w:type="dxa"/>
            </w:tcMar>
          </w:tcPr>
          <w:p w:rsidR="00923769" w:rsidRDefault="00450620">
            <w:pPr>
              <w:widowControl w:val="0"/>
              <w:spacing w:line="240" w:lineRule="auto"/>
              <w:jc w:val="both"/>
              <w:rPr>
                <w:b/>
                <w:sz w:val="23"/>
                <w:szCs w:val="23"/>
              </w:rPr>
            </w:pPr>
            <w:r>
              <w:rPr>
                <w:rFonts w:ascii="Bookman Old Style" w:eastAsia="Bookman Old Style" w:hAnsi="Bookman Old Style" w:cs="Bookman Old Style"/>
                <w:b/>
              </w:rPr>
              <w:t>Artículo 8°. Co</w:t>
            </w:r>
            <w:r>
              <w:rPr>
                <w:rFonts w:ascii="Bookman Old Style" w:eastAsia="Bookman Old Style" w:hAnsi="Bookman Old Style" w:cs="Bookman Old Style"/>
                <w:b/>
              </w:rPr>
              <w:t>nsumo Cultural Local.</w:t>
            </w:r>
            <w:r>
              <w:rPr>
                <w:b/>
                <w:sz w:val="23"/>
                <w:szCs w:val="23"/>
              </w:rPr>
              <w:t xml:space="preserve"> </w:t>
            </w:r>
            <w:r>
              <w:rPr>
                <w:rFonts w:ascii="Bookman Old Style" w:eastAsia="Bookman Old Style" w:hAnsi="Bookman Old Style" w:cs="Bookman Old Style"/>
              </w:rPr>
              <w:t>El Ministerio de las Culturas las Artes y los Saberes o quien haga sus veces, con el apoyo del Ministerio de Comercio, Industria y Turismo, creará una estrategia para fomentar el consumo cultural local, en articulación con los entes t</w:t>
            </w:r>
            <w:r>
              <w:rPr>
                <w:rFonts w:ascii="Bookman Old Style" w:eastAsia="Bookman Old Style" w:hAnsi="Bookman Old Style" w:cs="Bookman Old Style"/>
              </w:rPr>
              <w:t>erritoriales, las autoridades locales de cultura y agentes de la sociedad civil que se dediquen a la gestión cultural y/o promoción de las artes, las culturas y los saberes.  Se podrán aportar recursos públicos de los niveles local y regional, y recursos p</w:t>
            </w:r>
            <w:r>
              <w:rPr>
                <w:rFonts w:ascii="Bookman Old Style" w:eastAsia="Bookman Old Style" w:hAnsi="Bookman Old Style" w:cs="Bookman Old Style"/>
              </w:rPr>
              <w:t>rovenientes del sector privado y de cooperación internacional, para promover portafolios, subsidios y alianzas públicas y privadas, entre otros, que generen incentivos a los públicos existentes y nuevos para acceder a productos, servicios y espacios artíst</w:t>
            </w:r>
            <w:r>
              <w:rPr>
                <w:rFonts w:ascii="Bookman Old Style" w:eastAsia="Bookman Old Style" w:hAnsi="Bookman Old Style" w:cs="Bookman Old Style"/>
              </w:rPr>
              <w:t>icos, culturales y creativos locales, regionales y nacionales de Colombia</w:t>
            </w:r>
            <w:r>
              <w:rPr>
                <w:b/>
                <w:sz w:val="23"/>
                <w:szCs w:val="23"/>
              </w:rPr>
              <w:t xml:space="preserve">. </w:t>
            </w:r>
          </w:p>
          <w:p w:rsidR="00923769" w:rsidRDefault="00923769">
            <w:pPr>
              <w:widowControl w:val="0"/>
              <w:pBdr>
                <w:top w:val="nil"/>
                <w:left w:val="nil"/>
                <w:bottom w:val="nil"/>
                <w:right w:val="nil"/>
                <w:between w:val="nil"/>
              </w:pBdr>
              <w:spacing w:line="240" w:lineRule="auto"/>
              <w:jc w:val="both"/>
              <w:rPr>
                <w:rFonts w:ascii="Bookman Old Style" w:eastAsia="Bookman Old Style" w:hAnsi="Bookman Old Style" w:cs="Bookman Old Style"/>
              </w:rPr>
            </w:pPr>
          </w:p>
        </w:tc>
        <w:tc>
          <w:tcPr>
            <w:tcW w:w="1995" w:type="dxa"/>
            <w:shd w:val="clear" w:color="auto" w:fill="auto"/>
            <w:tcMar>
              <w:top w:w="100" w:type="dxa"/>
              <w:left w:w="100" w:type="dxa"/>
              <w:bottom w:w="100" w:type="dxa"/>
              <w:right w:w="100" w:type="dxa"/>
            </w:tcMar>
          </w:tcPr>
          <w:p w:rsidR="00923769" w:rsidRDefault="00450620">
            <w:pPr>
              <w:widowControl w:val="0"/>
              <w:spacing w:line="240" w:lineRule="auto"/>
              <w:rPr>
                <w:rFonts w:ascii="Bookman Old Style" w:eastAsia="Bookman Old Style" w:hAnsi="Bookman Old Style" w:cs="Bookman Old Style"/>
                <w:b/>
              </w:rPr>
            </w:pPr>
            <w:r>
              <w:rPr>
                <w:rFonts w:ascii="Bookman Old Style" w:eastAsia="Bookman Old Style" w:hAnsi="Bookman Old Style" w:cs="Bookman Old Style"/>
              </w:rPr>
              <w:t xml:space="preserve">Se acoge el texto aprobado en Senado </w:t>
            </w:r>
          </w:p>
        </w:tc>
      </w:tr>
      <w:tr w:rsidR="00923769">
        <w:tc>
          <w:tcPr>
            <w:tcW w:w="3540" w:type="dxa"/>
            <w:shd w:val="clear" w:color="auto" w:fill="auto"/>
            <w:tcMar>
              <w:top w:w="100" w:type="dxa"/>
              <w:left w:w="100" w:type="dxa"/>
              <w:bottom w:w="100" w:type="dxa"/>
              <w:right w:w="100" w:type="dxa"/>
            </w:tcMar>
          </w:tcPr>
          <w:p w:rsidR="00923769" w:rsidRDefault="00450620">
            <w:pPr>
              <w:widowControl w:val="0"/>
              <w:pBdr>
                <w:top w:val="nil"/>
                <w:left w:val="nil"/>
                <w:bottom w:val="nil"/>
                <w:right w:val="nil"/>
                <w:between w:val="nil"/>
              </w:pBdr>
              <w:spacing w:line="240" w:lineRule="auto"/>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8°. Estrategia de Divulgación Cultural. </w:t>
            </w:r>
            <w:r>
              <w:rPr>
                <w:rFonts w:ascii="Bookman Old Style" w:eastAsia="Bookman Old Style" w:hAnsi="Bookman Old Style" w:cs="Bookman Old Style"/>
              </w:rPr>
              <w:t>Créese una estrategia para fomentar las capacidades de difusión de las redes y espacios culturales locales, regionales y nacionales como bibliotecas, casas culturales, museos, galerías de arte y salas de exposición, centros históricos o de memoria históric</w:t>
            </w:r>
            <w:r>
              <w:rPr>
                <w:rFonts w:ascii="Bookman Old Style" w:eastAsia="Bookman Old Style" w:hAnsi="Bookman Old Style" w:cs="Bookman Old Style"/>
              </w:rPr>
              <w:t xml:space="preserve">a, archivos, instituciones educativas, </w:t>
            </w:r>
            <w:r>
              <w:rPr>
                <w:rFonts w:ascii="Bookman Old Style" w:eastAsia="Bookman Old Style" w:hAnsi="Bookman Old Style" w:cs="Bookman Old Style"/>
              </w:rPr>
              <w:lastRenderedPageBreak/>
              <w:t xml:space="preserve">bienes de interés cultural, entre otros, facilitando el ejercicio y acceso a las ofertas culturales desde un enfoque territorial. Esta estrategia digital la realizará el Ministerio de Cultura, en articulación con los </w:t>
            </w:r>
            <w:r>
              <w:rPr>
                <w:rFonts w:ascii="Bookman Old Style" w:eastAsia="Bookman Old Style" w:hAnsi="Bookman Old Style" w:cs="Bookman Old Style"/>
              </w:rPr>
              <w:t>entes territoriales, autoridades de cultura, RTVC Sistema de Medios Públicos, y con el apoyo del Ministerio de Tecnologías de la Información y las Comunicaciones para su diseño, soporte y actualización. Para esta divulgación serán prioritarias las personas</w:t>
            </w:r>
            <w:r>
              <w:rPr>
                <w:rFonts w:ascii="Bookman Old Style" w:eastAsia="Bookman Old Style" w:hAnsi="Bookman Old Style" w:cs="Bookman Old Style"/>
              </w:rPr>
              <w:t xml:space="preserve"> en condición de discapacidad, de la tercera edad, la primera infancia, la infancia, la juventud y los sectores sociales más vulnerables. Adicionalmente, esta estrategia incluirá una línea para fortalecer la capacidad de las organizaciones culturales para </w:t>
            </w:r>
            <w:r>
              <w:rPr>
                <w:rFonts w:ascii="Bookman Old Style" w:eastAsia="Bookman Old Style" w:hAnsi="Bookman Old Style" w:cs="Bookman Old Style"/>
              </w:rPr>
              <w:t xml:space="preserve">hacer divulgación de sus ofertas. </w:t>
            </w:r>
            <w:r>
              <w:rPr>
                <w:rFonts w:ascii="Bookman Old Style" w:eastAsia="Bookman Old Style" w:hAnsi="Bookman Old Style" w:cs="Bookman Old Style"/>
              </w:rPr>
              <w:br/>
            </w:r>
            <w:r>
              <w:rPr>
                <w:rFonts w:ascii="Bookman Old Style" w:eastAsia="Bookman Old Style" w:hAnsi="Bookman Old Style" w:cs="Bookman Old Style"/>
              </w:rPr>
              <w:br/>
            </w:r>
            <w:r>
              <w:rPr>
                <w:rFonts w:ascii="Bookman Old Style" w:eastAsia="Bookman Old Style" w:hAnsi="Bookman Old Style" w:cs="Bookman Old Style"/>
                <w:b/>
              </w:rPr>
              <w:t>Parágrafo 1</w:t>
            </w:r>
            <w:r>
              <w:rPr>
                <w:rFonts w:ascii="Bookman Old Style" w:eastAsia="Bookman Old Style" w:hAnsi="Bookman Old Style" w:cs="Bookman Old Style"/>
              </w:rPr>
              <w:t>°. Desde los estímulos para el arte y la cultura que se ofrezcan en el nivel nacional se deben crear categorías que fomenten el periodismo cultural y la crítica cultural para el fortalecimiento del consumo cul</w:t>
            </w:r>
            <w:r>
              <w:rPr>
                <w:rFonts w:ascii="Bookman Old Style" w:eastAsia="Bookman Old Style" w:hAnsi="Bookman Old Style" w:cs="Bookman Old Style"/>
              </w:rPr>
              <w:t>tural.</w:t>
            </w:r>
          </w:p>
        </w:tc>
        <w:tc>
          <w:tcPr>
            <w:tcW w:w="3465" w:type="dxa"/>
            <w:shd w:val="clear" w:color="auto" w:fill="auto"/>
            <w:tcMar>
              <w:top w:w="100" w:type="dxa"/>
              <w:left w:w="100" w:type="dxa"/>
              <w:bottom w:w="100" w:type="dxa"/>
              <w:right w:w="100" w:type="dxa"/>
            </w:tcMar>
          </w:tcPr>
          <w:p w:rsidR="00923769" w:rsidRDefault="00450620">
            <w:pPr>
              <w:widowControl w:val="0"/>
              <w:spacing w:line="240" w:lineRule="auto"/>
              <w:jc w:val="both"/>
              <w:rPr>
                <w:rFonts w:ascii="Bookman Old Style" w:eastAsia="Bookman Old Style" w:hAnsi="Bookman Old Style" w:cs="Bookman Old Style"/>
                <w:sz w:val="23"/>
                <w:szCs w:val="23"/>
              </w:rPr>
            </w:pPr>
            <w:r>
              <w:rPr>
                <w:rFonts w:ascii="Bookman Old Style" w:eastAsia="Bookman Old Style" w:hAnsi="Bookman Old Style" w:cs="Bookman Old Style"/>
                <w:b/>
                <w:sz w:val="23"/>
                <w:szCs w:val="23"/>
              </w:rPr>
              <w:lastRenderedPageBreak/>
              <w:t>Artículo 9°. Estrategia de Divulgación Cultural.</w:t>
            </w:r>
            <w:r>
              <w:rPr>
                <w:b/>
                <w:sz w:val="23"/>
                <w:szCs w:val="23"/>
              </w:rPr>
              <w:t xml:space="preserve"> </w:t>
            </w:r>
            <w:r>
              <w:rPr>
                <w:rFonts w:ascii="Bookman Old Style" w:eastAsia="Bookman Old Style" w:hAnsi="Bookman Old Style" w:cs="Bookman Old Style"/>
                <w:sz w:val="23"/>
                <w:szCs w:val="23"/>
              </w:rPr>
              <w:t>Créese una estrategia para fomentar las capacidades de difusión de las redes y espacios culturales locales, regionales y nacionales como bibliotecas, casas culturales, museos, galerías de arte y salas</w:t>
            </w:r>
            <w:r>
              <w:rPr>
                <w:rFonts w:ascii="Bookman Old Style" w:eastAsia="Bookman Old Style" w:hAnsi="Bookman Old Style" w:cs="Bookman Old Style"/>
                <w:sz w:val="23"/>
                <w:szCs w:val="23"/>
              </w:rPr>
              <w:t xml:space="preserve"> de exposición, centros históricos o de memoria </w:t>
            </w:r>
            <w:r>
              <w:rPr>
                <w:rFonts w:ascii="Bookman Old Style" w:eastAsia="Bookman Old Style" w:hAnsi="Bookman Old Style" w:cs="Bookman Old Style"/>
                <w:sz w:val="23"/>
                <w:szCs w:val="23"/>
              </w:rPr>
              <w:lastRenderedPageBreak/>
              <w:t>histórica, archivos, instituciones educativas, bienes de interés cultural, entre otros, facilitando el ejercicio y acceso a las ofertas culturales desde un enfoque territorial. Esta estrategia digital, pero n</w:t>
            </w:r>
            <w:r>
              <w:rPr>
                <w:rFonts w:ascii="Bookman Old Style" w:eastAsia="Bookman Old Style" w:hAnsi="Bookman Old Style" w:cs="Bookman Old Style"/>
                <w:sz w:val="23"/>
                <w:szCs w:val="23"/>
              </w:rPr>
              <w:t>o exclusivamente limitada a ello, la diseñará, implementará y actualizará el Ministerio de las Culturas, las Artes y los Saberes, en articulación con los entes territoriales, autoridades de cultura, RTVC Sistema de Medios Públicos. Para esta divulgación se</w:t>
            </w:r>
            <w:r>
              <w:rPr>
                <w:rFonts w:ascii="Bookman Old Style" w:eastAsia="Bookman Old Style" w:hAnsi="Bookman Old Style" w:cs="Bookman Old Style"/>
                <w:sz w:val="23"/>
                <w:szCs w:val="23"/>
              </w:rPr>
              <w:t>rán prioritarias las personas en condición de discapacidad de la tercera edad, la primera infancia, la infancia, la juventud y los sectores sociales más vulnerables. Adicionalmente, esta estrategia incluirá una línea para fortalecer la capacidad de las org</w:t>
            </w:r>
            <w:r>
              <w:rPr>
                <w:rFonts w:ascii="Bookman Old Style" w:eastAsia="Bookman Old Style" w:hAnsi="Bookman Old Style" w:cs="Bookman Old Style"/>
                <w:sz w:val="23"/>
                <w:szCs w:val="23"/>
              </w:rPr>
              <w:t>anizaciones culturales para hacer divulgación de sus ofertas.</w:t>
            </w:r>
          </w:p>
          <w:p w:rsidR="00923769" w:rsidRDefault="00450620">
            <w:pPr>
              <w:widowControl w:val="0"/>
              <w:spacing w:line="240" w:lineRule="auto"/>
              <w:jc w:val="both"/>
              <w:rPr>
                <w:rFonts w:ascii="Bookman Old Style" w:eastAsia="Bookman Old Style" w:hAnsi="Bookman Old Style" w:cs="Bookman Old Style"/>
                <w:sz w:val="23"/>
                <w:szCs w:val="23"/>
              </w:rPr>
            </w:pPr>
            <w:r>
              <w:rPr>
                <w:rFonts w:ascii="Bookman Old Style" w:eastAsia="Bookman Old Style" w:hAnsi="Bookman Old Style" w:cs="Bookman Old Style"/>
                <w:sz w:val="23"/>
                <w:szCs w:val="23"/>
              </w:rPr>
              <w:t xml:space="preserve"> </w:t>
            </w:r>
          </w:p>
          <w:p w:rsidR="00923769" w:rsidRDefault="00450620">
            <w:pPr>
              <w:widowControl w:val="0"/>
              <w:spacing w:line="240" w:lineRule="auto"/>
              <w:jc w:val="both"/>
              <w:rPr>
                <w:rFonts w:ascii="Bookman Old Style" w:eastAsia="Bookman Old Style" w:hAnsi="Bookman Old Style" w:cs="Bookman Old Style"/>
                <w:sz w:val="23"/>
                <w:szCs w:val="23"/>
              </w:rPr>
            </w:pPr>
            <w:r>
              <w:rPr>
                <w:rFonts w:ascii="Bookman Old Style" w:eastAsia="Bookman Old Style" w:hAnsi="Bookman Old Style" w:cs="Bookman Old Style"/>
                <w:b/>
                <w:sz w:val="23"/>
                <w:szCs w:val="23"/>
              </w:rPr>
              <w:t>Parágrafo 1°.</w:t>
            </w:r>
            <w:r>
              <w:rPr>
                <w:rFonts w:ascii="Bookman Old Style" w:eastAsia="Bookman Old Style" w:hAnsi="Bookman Old Style" w:cs="Bookman Old Style"/>
                <w:sz w:val="23"/>
                <w:szCs w:val="23"/>
              </w:rPr>
              <w:t xml:space="preserve"> Desde los estímulos para el arte y la cultura que se ofrezcan en el nivel nacional se deben crear categorías que fomenten el periodismo y la crítica cultural para el fortalecimie</w:t>
            </w:r>
            <w:r>
              <w:rPr>
                <w:rFonts w:ascii="Bookman Old Style" w:eastAsia="Bookman Old Style" w:hAnsi="Bookman Old Style" w:cs="Bookman Old Style"/>
                <w:sz w:val="23"/>
                <w:szCs w:val="23"/>
              </w:rPr>
              <w:t xml:space="preserve">nto del consumo, a través de la Canasta Básica Cultural. </w:t>
            </w:r>
          </w:p>
          <w:p w:rsidR="00923769" w:rsidRDefault="00450620">
            <w:pPr>
              <w:widowControl w:val="0"/>
              <w:spacing w:line="240" w:lineRule="auto"/>
              <w:jc w:val="both"/>
              <w:rPr>
                <w:b/>
                <w:sz w:val="23"/>
                <w:szCs w:val="23"/>
              </w:rPr>
            </w:pPr>
            <w:r>
              <w:rPr>
                <w:rFonts w:ascii="Bookman Old Style" w:eastAsia="Bookman Old Style" w:hAnsi="Bookman Old Style" w:cs="Bookman Old Style"/>
                <w:b/>
                <w:sz w:val="23"/>
                <w:szCs w:val="23"/>
              </w:rPr>
              <w:t>Parágrafo 2º</w:t>
            </w:r>
            <w:r>
              <w:rPr>
                <w:rFonts w:ascii="Bookman Old Style" w:eastAsia="Bookman Old Style" w:hAnsi="Bookman Old Style" w:cs="Bookman Old Style"/>
                <w:sz w:val="23"/>
                <w:szCs w:val="23"/>
              </w:rPr>
              <w:t>. Los medios de comunicación públicos deben implementar mecanismos para incluir en su programación las producciones artísticas y culturales locales, ya sean ganadoras de estímulos de art</w:t>
            </w:r>
            <w:r>
              <w:rPr>
                <w:rFonts w:ascii="Bookman Old Style" w:eastAsia="Bookman Old Style" w:hAnsi="Bookman Old Style" w:cs="Bookman Old Style"/>
                <w:sz w:val="23"/>
                <w:szCs w:val="23"/>
              </w:rPr>
              <w:t xml:space="preserve">e y cultura o producciones </w:t>
            </w:r>
            <w:r>
              <w:rPr>
                <w:rFonts w:ascii="Bookman Old Style" w:eastAsia="Bookman Old Style" w:hAnsi="Bookman Old Style" w:cs="Bookman Old Style"/>
                <w:sz w:val="23"/>
                <w:szCs w:val="23"/>
              </w:rPr>
              <w:lastRenderedPageBreak/>
              <w:t>autogestionadas</w:t>
            </w:r>
            <w:r>
              <w:rPr>
                <w:b/>
                <w:sz w:val="23"/>
                <w:szCs w:val="23"/>
              </w:rPr>
              <w:t xml:space="preserve">. </w:t>
            </w:r>
          </w:p>
          <w:p w:rsidR="00923769" w:rsidRDefault="00923769">
            <w:pPr>
              <w:widowControl w:val="0"/>
              <w:spacing w:line="240" w:lineRule="auto"/>
              <w:jc w:val="both"/>
              <w:rPr>
                <w:rFonts w:ascii="Bookman Old Style" w:eastAsia="Bookman Old Style" w:hAnsi="Bookman Old Style" w:cs="Bookman Old Style"/>
                <w:b/>
              </w:rPr>
            </w:pPr>
          </w:p>
        </w:tc>
        <w:tc>
          <w:tcPr>
            <w:tcW w:w="1995" w:type="dxa"/>
            <w:shd w:val="clear" w:color="auto" w:fill="auto"/>
            <w:tcMar>
              <w:top w:w="100" w:type="dxa"/>
              <w:left w:w="100" w:type="dxa"/>
              <w:bottom w:w="100" w:type="dxa"/>
              <w:right w:w="100" w:type="dxa"/>
            </w:tcMar>
          </w:tcPr>
          <w:p w:rsidR="00923769" w:rsidRDefault="00450620">
            <w:pPr>
              <w:widowControl w:val="0"/>
              <w:spacing w:line="240" w:lineRule="auto"/>
              <w:rPr>
                <w:rFonts w:ascii="Bookman Old Style" w:eastAsia="Bookman Old Style" w:hAnsi="Bookman Old Style" w:cs="Bookman Old Style"/>
                <w:b/>
              </w:rPr>
            </w:pPr>
            <w:r>
              <w:rPr>
                <w:rFonts w:ascii="Bookman Old Style" w:eastAsia="Bookman Old Style" w:hAnsi="Bookman Old Style" w:cs="Bookman Old Style"/>
              </w:rPr>
              <w:lastRenderedPageBreak/>
              <w:t xml:space="preserve">Se acoge el texto aprobado en Senado </w:t>
            </w:r>
          </w:p>
        </w:tc>
      </w:tr>
      <w:tr w:rsidR="00923769">
        <w:tc>
          <w:tcPr>
            <w:tcW w:w="3540" w:type="dxa"/>
            <w:shd w:val="clear" w:color="auto" w:fill="auto"/>
            <w:tcMar>
              <w:top w:w="100" w:type="dxa"/>
              <w:left w:w="100" w:type="dxa"/>
              <w:bottom w:w="100" w:type="dxa"/>
              <w:right w:w="100" w:type="dxa"/>
            </w:tcMar>
          </w:tcPr>
          <w:p w:rsidR="00923769" w:rsidRDefault="00450620">
            <w:pPr>
              <w:widowControl w:val="0"/>
              <w:pBdr>
                <w:top w:val="nil"/>
                <w:left w:val="nil"/>
                <w:bottom w:val="nil"/>
                <w:right w:val="nil"/>
                <w:between w:val="nil"/>
              </w:pBdr>
              <w:spacing w:line="240" w:lineRule="auto"/>
              <w:jc w:val="both"/>
              <w:rPr>
                <w:rFonts w:ascii="Bookman Old Style" w:eastAsia="Bookman Old Style" w:hAnsi="Bookman Old Style" w:cs="Bookman Old Style"/>
                <w:b/>
              </w:rPr>
            </w:pPr>
            <w:r>
              <w:rPr>
                <w:rFonts w:ascii="Bookman Old Style" w:eastAsia="Bookman Old Style" w:hAnsi="Bookman Old Style" w:cs="Bookman Old Style"/>
                <w:b/>
              </w:rPr>
              <w:lastRenderedPageBreak/>
              <w:t xml:space="preserve">Artículo 9°. Estrategia móvil Cultura Profunda. </w:t>
            </w:r>
            <w:r>
              <w:rPr>
                <w:rFonts w:ascii="Bookman Old Style" w:eastAsia="Bookman Old Style" w:hAnsi="Bookman Old Style" w:cs="Bookman Old Style"/>
              </w:rPr>
              <w:t>Créese una estrategia móvil en concurrencia del Ministerio de Cultura, Ministerio de Comercio, Fontur y Colombia Productiva para fortalecer e incentivar el consumo de los productos y servicios artísticos y culturales, de los municipios priorizados de acuer</w:t>
            </w:r>
            <w:r>
              <w:rPr>
                <w:rFonts w:ascii="Bookman Old Style" w:eastAsia="Bookman Old Style" w:hAnsi="Bookman Old Style" w:cs="Bookman Old Style"/>
              </w:rPr>
              <w:t>do con el enfoque territorial teniendo en cuenta los municipios Pdet y Zomac</w:t>
            </w:r>
            <w:r>
              <w:rPr>
                <w:rFonts w:ascii="Bookman Old Style" w:eastAsia="Bookman Old Style" w:hAnsi="Bookman Old Style" w:cs="Bookman Old Style"/>
                <w:b/>
              </w:rPr>
              <w:t>.</w:t>
            </w:r>
          </w:p>
          <w:p w:rsidR="00923769" w:rsidRDefault="00923769">
            <w:pPr>
              <w:widowControl w:val="0"/>
              <w:pBdr>
                <w:top w:val="nil"/>
                <w:left w:val="nil"/>
                <w:bottom w:val="nil"/>
                <w:right w:val="nil"/>
                <w:between w:val="nil"/>
              </w:pBdr>
              <w:spacing w:line="240" w:lineRule="auto"/>
              <w:jc w:val="both"/>
              <w:rPr>
                <w:rFonts w:ascii="Bookman Old Style" w:eastAsia="Bookman Old Style" w:hAnsi="Bookman Old Style" w:cs="Bookman Old Style"/>
                <w:b/>
              </w:rPr>
            </w:pPr>
          </w:p>
          <w:p w:rsidR="00923769" w:rsidRDefault="00450620">
            <w:pPr>
              <w:widowControl w:val="0"/>
              <w:pBdr>
                <w:top w:val="nil"/>
                <w:left w:val="nil"/>
                <w:bottom w:val="nil"/>
                <w:right w:val="nil"/>
                <w:between w:val="nil"/>
              </w:pBdr>
              <w:spacing w:line="240" w:lineRule="auto"/>
              <w:jc w:val="both"/>
              <w:rPr>
                <w:rFonts w:ascii="Bookman Old Style" w:eastAsia="Bookman Old Style" w:hAnsi="Bookman Old Style" w:cs="Bookman Old Style"/>
                <w:b/>
              </w:rPr>
            </w:pPr>
            <w:r>
              <w:rPr>
                <w:rFonts w:ascii="Bookman Old Style" w:eastAsia="Bookman Old Style" w:hAnsi="Bookman Old Style" w:cs="Bookman Old Style"/>
                <w:b/>
              </w:rPr>
              <w:t>Parágrafo 1</w:t>
            </w:r>
            <w:r>
              <w:rPr>
                <w:rFonts w:ascii="Bookman Old Style" w:eastAsia="Bookman Old Style" w:hAnsi="Bookman Old Style" w:cs="Bookman Old Style"/>
              </w:rPr>
              <w:t>°.Equipamientos culturales. A partir de la Encuesta de Consumo Cultural (ECC) del DANE, el Ministerio de Cultura identificará los territorios con menor cantidad de equipamientos culturales, que serán priorizados para la implementación de la estrategia móvi</w:t>
            </w:r>
            <w:r>
              <w:rPr>
                <w:rFonts w:ascii="Bookman Old Style" w:eastAsia="Bookman Old Style" w:hAnsi="Bookman Old Style" w:cs="Bookman Old Style"/>
              </w:rPr>
              <w:t xml:space="preserve">l. </w:t>
            </w:r>
            <w:r>
              <w:rPr>
                <w:rFonts w:ascii="Bookman Old Style" w:eastAsia="Bookman Old Style" w:hAnsi="Bookman Old Style" w:cs="Bookman Old Style"/>
              </w:rPr>
              <w:br/>
            </w:r>
            <w:r>
              <w:rPr>
                <w:rFonts w:ascii="Bookman Old Style" w:eastAsia="Bookman Old Style" w:hAnsi="Bookman Old Style" w:cs="Bookman Old Style"/>
              </w:rPr>
              <w:br/>
              <w:t>Parágrafo 2°. El Ministerio de Cultura implementará un enfoque diferencial de atención territorial para los municipios Pdet, en aras de darles prelación en la provisión de equipamientos culturales</w:t>
            </w:r>
            <w:r>
              <w:rPr>
                <w:rFonts w:ascii="Bookman Old Style" w:eastAsia="Bookman Old Style" w:hAnsi="Bookman Old Style" w:cs="Bookman Old Style"/>
                <w:b/>
              </w:rPr>
              <w:t>.</w:t>
            </w:r>
          </w:p>
        </w:tc>
        <w:tc>
          <w:tcPr>
            <w:tcW w:w="3465" w:type="dxa"/>
            <w:shd w:val="clear" w:color="auto" w:fill="auto"/>
            <w:tcMar>
              <w:top w:w="100" w:type="dxa"/>
              <w:left w:w="100" w:type="dxa"/>
              <w:bottom w:w="100" w:type="dxa"/>
              <w:right w:w="100" w:type="dxa"/>
            </w:tcMar>
          </w:tcPr>
          <w:p w:rsidR="00923769" w:rsidRDefault="00450620">
            <w:pPr>
              <w:widowControl w:val="0"/>
              <w:spacing w:line="240" w:lineRule="auto"/>
              <w:jc w:val="both"/>
              <w:rPr>
                <w:rFonts w:ascii="Bookman Old Style" w:eastAsia="Bookman Old Style" w:hAnsi="Bookman Old Style" w:cs="Bookman Old Style"/>
              </w:rPr>
            </w:pPr>
            <w:r>
              <w:rPr>
                <w:rFonts w:ascii="Bookman Old Style" w:eastAsia="Bookman Old Style" w:hAnsi="Bookman Old Style" w:cs="Bookman Old Style"/>
                <w:b/>
              </w:rPr>
              <w:t>Artículo 10°. Estrategia móvil.</w:t>
            </w:r>
            <w:r>
              <w:rPr>
                <w:rFonts w:ascii="Bookman Old Style" w:eastAsia="Bookman Old Style" w:hAnsi="Bookman Old Style" w:cs="Bookman Old Style"/>
              </w:rPr>
              <w:t xml:space="preserve"> Créese una estrategia</w:t>
            </w:r>
            <w:r>
              <w:rPr>
                <w:rFonts w:ascii="Bookman Old Style" w:eastAsia="Bookman Old Style" w:hAnsi="Bookman Old Style" w:cs="Bookman Old Style"/>
              </w:rPr>
              <w:t xml:space="preserve"> móvil en cabeza del Ministerio de las Culturas, las Artes y los Saberes, con la colaboración del Ministerio de Comercio, Industria y Turismo, y sus fondos y entidades adscritas en el marco de sus competencias legales, para fortalecer e incentivar el consu</w:t>
            </w:r>
            <w:r>
              <w:rPr>
                <w:rFonts w:ascii="Bookman Old Style" w:eastAsia="Bookman Old Style" w:hAnsi="Bookman Old Style" w:cs="Bookman Old Style"/>
              </w:rPr>
              <w:t>mo de los elementos de la Canasta Básica Cultural a las poblaciones urbanas y rurales que no cuenten con oferta cultural o que esta sea carente productos y servicios artísticos, culturales, y de otros municipios priorizados de acuerdo con el enfoque territ</w:t>
            </w:r>
            <w:r>
              <w:rPr>
                <w:rFonts w:ascii="Bookman Old Style" w:eastAsia="Bookman Old Style" w:hAnsi="Bookman Old Style" w:cs="Bookman Old Style"/>
              </w:rPr>
              <w:t xml:space="preserve">orial teniendo en cuenta los municipios PDET y ZOMAC. </w:t>
            </w:r>
          </w:p>
          <w:p w:rsidR="00923769" w:rsidRDefault="00923769">
            <w:pPr>
              <w:widowControl w:val="0"/>
              <w:spacing w:line="240" w:lineRule="auto"/>
              <w:jc w:val="both"/>
              <w:rPr>
                <w:rFonts w:ascii="Bookman Old Style" w:eastAsia="Bookman Old Style" w:hAnsi="Bookman Old Style" w:cs="Bookman Old Style"/>
              </w:rPr>
            </w:pPr>
          </w:p>
          <w:p w:rsidR="00923769" w:rsidRDefault="00450620">
            <w:pPr>
              <w:widowControl w:val="0"/>
              <w:spacing w:line="240" w:lineRule="auto"/>
              <w:jc w:val="both"/>
              <w:rPr>
                <w:rFonts w:ascii="Bookman Old Style" w:eastAsia="Bookman Old Style" w:hAnsi="Bookman Old Style" w:cs="Bookman Old Style"/>
              </w:rPr>
            </w:pPr>
            <w:r>
              <w:rPr>
                <w:rFonts w:ascii="Bookman Old Style" w:eastAsia="Bookman Old Style" w:hAnsi="Bookman Old Style" w:cs="Bookman Old Style"/>
                <w:b/>
              </w:rPr>
              <w:t>Parágrafo 1°</w:t>
            </w:r>
            <w:r>
              <w:rPr>
                <w:rFonts w:ascii="Bookman Old Style" w:eastAsia="Bookman Old Style" w:hAnsi="Bookman Old Style" w:cs="Bookman Old Style"/>
              </w:rPr>
              <w:t>. Equipamientos culturales. A partir de la Encuesta de Consumo Cultural (ECC) del DANE, el Ministerio de las Culturas, las Artes y los Saberes, identificará los territorios con menor cantidad de equipamientos culturales, que serán priorizados para la imple</w:t>
            </w:r>
            <w:r>
              <w:rPr>
                <w:rFonts w:ascii="Bookman Old Style" w:eastAsia="Bookman Old Style" w:hAnsi="Bookman Old Style" w:cs="Bookman Old Style"/>
              </w:rPr>
              <w:t xml:space="preserve">mentación de la estrategia móvil. </w:t>
            </w:r>
          </w:p>
          <w:p w:rsidR="00923769" w:rsidRDefault="00923769">
            <w:pPr>
              <w:widowControl w:val="0"/>
              <w:spacing w:line="240" w:lineRule="auto"/>
              <w:jc w:val="both"/>
              <w:rPr>
                <w:rFonts w:ascii="Bookman Old Style" w:eastAsia="Bookman Old Style" w:hAnsi="Bookman Old Style" w:cs="Bookman Old Style"/>
              </w:rPr>
            </w:pPr>
          </w:p>
          <w:p w:rsidR="00923769" w:rsidRDefault="00450620">
            <w:pPr>
              <w:widowControl w:val="0"/>
              <w:spacing w:line="240" w:lineRule="auto"/>
              <w:jc w:val="both"/>
              <w:rPr>
                <w:rFonts w:ascii="Bookman Old Style" w:eastAsia="Bookman Old Style" w:hAnsi="Bookman Old Style" w:cs="Bookman Old Style"/>
                <w:b/>
              </w:rPr>
            </w:pPr>
            <w:r>
              <w:rPr>
                <w:rFonts w:ascii="Bookman Old Style" w:eastAsia="Bookman Old Style" w:hAnsi="Bookman Old Style" w:cs="Bookman Old Style"/>
                <w:b/>
              </w:rPr>
              <w:t>Parágrafo 2°.</w:t>
            </w:r>
            <w:r>
              <w:rPr>
                <w:rFonts w:ascii="Bookman Old Style" w:eastAsia="Bookman Old Style" w:hAnsi="Bookman Old Style" w:cs="Bookman Old Style"/>
              </w:rPr>
              <w:t xml:space="preserve"> El Ministerio de las Culturas, las Artes y los Saberes implementará un enfoque diferencial de atención territorial para los municipios PDET, ZOMAC y de categorías 5 y 6, en aras de darles prelación en la pr</w:t>
            </w:r>
            <w:r>
              <w:rPr>
                <w:rFonts w:ascii="Bookman Old Style" w:eastAsia="Bookman Old Style" w:hAnsi="Bookman Old Style" w:cs="Bookman Old Style"/>
              </w:rPr>
              <w:t>ovisión de equipamientos culturales</w:t>
            </w:r>
            <w:r>
              <w:rPr>
                <w:b/>
                <w:sz w:val="23"/>
                <w:szCs w:val="23"/>
              </w:rPr>
              <w:t xml:space="preserve">. </w:t>
            </w:r>
          </w:p>
        </w:tc>
        <w:tc>
          <w:tcPr>
            <w:tcW w:w="1995" w:type="dxa"/>
            <w:shd w:val="clear" w:color="auto" w:fill="auto"/>
            <w:tcMar>
              <w:top w:w="100" w:type="dxa"/>
              <w:left w:w="100" w:type="dxa"/>
              <w:bottom w:w="100" w:type="dxa"/>
              <w:right w:w="100" w:type="dxa"/>
            </w:tcMar>
          </w:tcPr>
          <w:p w:rsidR="00923769" w:rsidRDefault="00450620">
            <w:pPr>
              <w:widowControl w:val="0"/>
              <w:spacing w:line="240" w:lineRule="auto"/>
              <w:rPr>
                <w:rFonts w:ascii="Bookman Old Style" w:eastAsia="Bookman Old Style" w:hAnsi="Bookman Old Style" w:cs="Bookman Old Style"/>
                <w:b/>
              </w:rPr>
            </w:pPr>
            <w:r>
              <w:rPr>
                <w:rFonts w:ascii="Bookman Old Style" w:eastAsia="Bookman Old Style" w:hAnsi="Bookman Old Style" w:cs="Bookman Old Style"/>
              </w:rPr>
              <w:t xml:space="preserve">Se acoge el texto aprobado en Senado </w:t>
            </w:r>
          </w:p>
        </w:tc>
      </w:tr>
      <w:tr w:rsidR="00923769">
        <w:tc>
          <w:tcPr>
            <w:tcW w:w="3540" w:type="dxa"/>
            <w:shd w:val="clear" w:color="auto" w:fill="auto"/>
            <w:tcMar>
              <w:top w:w="100" w:type="dxa"/>
              <w:left w:w="100" w:type="dxa"/>
              <w:bottom w:w="100" w:type="dxa"/>
              <w:right w:w="100" w:type="dxa"/>
            </w:tcMar>
          </w:tcPr>
          <w:p w:rsidR="00923769" w:rsidRDefault="00450620">
            <w:pPr>
              <w:widowControl w:val="0"/>
              <w:pBdr>
                <w:top w:val="nil"/>
                <w:left w:val="nil"/>
                <w:bottom w:val="nil"/>
                <w:right w:val="nil"/>
                <w:between w:val="nil"/>
              </w:pBdr>
              <w:spacing w:line="240" w:lineRule="auto"/>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10. Creación del índice de consumo cultural. </w:t>
            </w:r>
            <w:r>
              <w:rPr>
                <w:rFonts w:ascii="Bookman Old Style" w:eastAsia="Bookman Old Style" w:hAnsi="Bookman Old Style" w:cs="Bookman Old Style"/>
              </w:rPr>
              <w:lastRenderedPageBreak/>
              <w:t>Créese dentro de la Cuenta Satélite de Cultura y Economías Creativas del DANE un índice de consumo cultural que permita la co</w:t>
            </w:r>
            <w:r>
              <w:rPr>
                <w:rFonts w:ascii="Bookman Old Style" w:eastAsia="Bookman Old Style" w:hAnsi="Bookman Old Style" w:cs="Bookman Old Style"/>
              </w:rPr>
              <w:t>mparación teniendo en cuenta las variables de oferta cultural, demanda cultural e infraestructura cultural. Lo anterior, identificando y caracterizando a la población étnica, para su reconocimiento con base en sus prácticas culturales propias y ancestrales</w:t>
            </w:r>
            <w:r>
              <w:rPr>
                <w:rFonts w:ascii="Bookman Old Style" w:eastAsia="Bookman Old Style" w:hAnsi="Bookman Old Style" w:cs="Bookman Old Style"/>
              </w:rPr>
              <w:t>.</w:t>
            </w:r>
          </w:p>
        </w:tc>
        <w:tc>
          <w:tcPr>
            <w:tcW w:w="3465" w:type="dxa"/>
            <w:shd w:val="clear" w:color="auto" w:fill="auto"/>
            <w:tcMar>
              <w:top w:w="100" w:type="dxa"/>
              <w:left w:w="100" w:type="dxa"/>
              <w:bottom w:w="100" w:type="dxa"/>
              <w:right w:w="100" w:type="dxa"/>
            </w:tcMar>
          </w:tcPr>
          <w:p w:rsidR="00923769" w:rsidRDefault="00450620">
            <w:pPr>
              <w:widowControl w:val="0"/>
              <w:spacing w:line="240" w:lineRule="auto"/>
              <w:jc w:val="both"/>
              <w:rPr>
                <w:rFonts w:ascii="Bookman Old Style" w:eastAsia="Bookman Old Style" w:hAnsi="Bookman Old Style" w:cs="Bookman Old Style"/>
              </w:rPr>
            </w:pPr>
            <w:r>
              <w:rPr>
                <w:rFonts w:ascii="Bookman Old Style" w:eastAsia="Bookman Old Style" w:hAnsi="Bookman Old Style" w:cs="Bookman Old Style"/>
                <w:b/>
                <w:sz w:val="23"/>
                <w:szCs w:val="23"/>
              </w:rPr>
              <w:lastRenderedPageBreak/>
              <w:t xml:space="preserve">Artículo 11. Creación del índice de consumo </w:t>
            </w:r>
            <w:r>
              <w:rPr>
                <w:rFonts w:ascii="Bookman Old Style" w:eastAsia="Bookman Old Style" w:hAnsi="Bookman Old Style" w:cs="Bookman Old Style"/>
                <w:b/>
                <w:sz w:val="23"/>
                <w:szCs w:val="23"/>
              </w:rPr>
              <w:lastRenderedPageBreak/>
              <w:t xml:space="preserve">cultural. </w:t>
            </w:r>
            <w:r>
              <w:rPr>
                <w:rFonts w:ascii="Bookman Old Style" w:eastAsia="Bookman Old Style" w:hAnsi="Bookman Old Style" w:cs="Bookman Old Style"/>
              </w:rPr>
              <w:t>Créese dentro de la Cuenta Satélite de Cultura y Economías Creativas del DANE un índice de consumo cultural que permita la comparación teniendo en cuenta las variables de oferta, demanda e infraestruc</w:t>
            </w:r>
            <w:r>
              <w:rPr>
                <w:rFonts w:ascii="Bookman Old Style" w:eastAsia="Bookman Old Style" w:hAnsi="Bookman Old Style" w:cs="Bookman Old Style"/>
              </w:rPr>
              <w:t xml:space="preserve">tura cultural. Lo anterior, identificando y caracterizando a la población étnica, para su reconocimiento con base en sus prácticas culturales propias y ancestrales. </w:t>
            </w:r>
          </w:p>
          <w:p w:rsidR="00923769" w:rsidRDefault="00923769">
            <w:pPr>
              <w:widowControl w:val="0"/>
              <w:pBdr>
                <w:top w:val="nil"/>
                <w:left w:val="nil"/>
                <w:bottom w:val="nil"/>
                <w:right w:val="nil"/>
                <w:between w:val="nil"/>
              </w:pBdr>
              <w:spacing w:line="240" w:lineRule="auto"/>
              <w:jc w:val="both"/>
              <w:rPr>
                <w:rFonts w:ascii="Bookman Old Style" w:eastAsia="Bookman Old Style" w:hAnsi="Bookman Old Style" w:cs="Bookman Old Style"/>
                <w:b/>
              </w:rPr>
            </w:pPr>
          </w:p>
        </w:tc>
        <w:tc>
          <w:tcPr>
            <w:tcW w:w="1995" w:type="dxa"/>
            <w:shd w:val="clear" w:color="auto" w:fill="auto"/>
            <w:tcMar>
              <w:top w:w="100" w:type="dxa"/>
              <w:left w:w="100" w:type="dxa"/>
              <w:bottom w:w="100" w:type="dxa"/>
              <w:right w:w="100" w:type="dxa"/>
            </w:tcMar>
          </w:tcPr>
          <w:p w:rsidR="00923769" w:rsidRDefault="00450620">
            <w:pPr>
              <w:widowControl w:val="0"/>
              <w:pBdr>
                <w:top w:val="nil"/>
                <w:left w:val="nil"/>
                <w:bottom w:val="nil"/>
                <w:right w:val="nil"/>
                <w:between w:val="nil"/>
              </w:pBdr>
              <w:spacing w:line="240" w:lineRule="auto"/>
              <w:jc w:val="both"/>
              <w:rPr>
                <w:rFonts w:ascii="Bookman Old Style" w:eastAsia="Bookman Old Style" w:hAnsi="Bookman Old Style" w:cs="Bookman Old Style"/>
                <w:b/>
              </w:rPr>
            </w:pPr>
            <w:r>
              <w:rPr>
                <w:rFonts w:ascii="Bookman Old Style" w:eastAsia="Bookman Old Style" w:hAnsi="Bookman Old Style" w:cs="Bookman Old Style"/>
                <w:b/>
              </w:rPr>
              <w:lastRenderedPageBreak/>
              <w:t xml:space="preserve">Sin cambios </w:t>
            </w:r>
          </w:p>
        </w:tc>
      </w:tr>
      <w:tr w:rsidR="00923769">
        <w:tc>
          <w:tcPr>
            <w:tcW w:w="3540" w:type="dxa"/>
            <w:shd w:val="clear" w:color="auto" w:fill="auto"/>
            <w:tcMar>
              <w:top w:w="100" w:type="dxa"/>
              <w:left w:w="100" w:type="dxa"/>
              <w:bottom w:w="100" w:type="dxa"/>
              <w:right w:w="100" w:type="dxa"/>
            </w:tcMar>
          </w:tcPr>
          <w:p w:rsidR="00923769" w:rsidRDefault="00450620">
            <w:pPr>
              <w:widowControl w:val="0"/>
              <w:pBdr>
                <w:top w:val="nil"/>
                <w:left w:val="nil"/>
                <w:bottom w:val="nil"/>
                <w:right w:val="nil"/>
                <w:between w:val="nil"/>
              </w:pBdr>
              <w:spacing w:line="240" w:lineRule="auto"/>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11. Seguimiento. </w:t>
            </w:r>
            <w:r>
              <w:rPr>
                <w:rFonts w:ascii="Bookman Old Style" w:eastAsia="Bookman Old Style" w:hAnsi="Bookman Old Style" w:cs="Bookman Old Style"/>
              </w:rPr>
              <w:t xml:space="preserve">El Gobierno Nacional hará un seguimiento anual a la política de Canasta Básica de Cultura con el fin de evaluar su impacto. Dicha evaluación debe ser publicada a través de un documento de acceso público que será remitido a la Comisión Sexta Constitucional </w:t>
            </w:r>
            <w:r>
              <w:rPr>
                <w:rFonts w:ascii="Bookman Old Style" w:eastAsia="Bookman Old Style" w:hAnsi="Bookman Old Style" w:cs="Bookman Old Style"/>
              </w:rPr>
              <w:t>de la Cámara de Representantes y del Senado</w:t>
            </w:r>
          </w:p>
        </w:tc>
        <w:tc>
          <w:tcPr>
            <w:tcW w:w="3465" w:type="dxa"/>
            <w:shd w:val="clear" w:color="auto" w:fill="auto"/>
            <w:tcMar>
              <w:top w:w="100" w:type="dxa"/>
              <w:left w:w="100" w:type="dxa"/>
              <w:bottom w:w="100" w:type="dxa"/>
              <w:right w:w="100" w:type="dxa"/>
            </w:tcMar>
          </w:tcPr>
          <w:p w:rsidR="00923769" w:rsidRDefault="00450620">
            <w:pPr>
              <w:widowControl w:val="0"/>
              <w:spacing w:line="240" w:lineRule="auto"/>
              <w:jc w:val="both"/>
              <w:rPr>
                <w:rFonts w:ascii="Bookman Old Style" w:eastAsia="Bookman Old Style" w:hAnsi="Bookman Old Style" w:cs="Bookman Old Style"/>
                <w:b/>
              </w:rPr>
            </w:pPr>
            <w:r>
              <w:rPr>
                <w:rFonts w:ascii="Bookman Old Style" w:eastAsia="Bookman Old Style" w:hAnsi="Bookman Old Style" w:cs="Bookman Old Style"/>
                <w:b/>
              </w:rPr>
              <w:t>Artículo 12. Seguimiento</w:t>
            </w:r>
            <w:r>
              <w:rPr>
                <w:b/>
                <w:sz w:val="23"/>
                <w:szCs w:val="23"/>
              </w:rPr>
              <w:t xml:space="preserve">. </w:t>
            </w:r>
            <w:r>
              <w:rPr>
                <w:rFonts w:ascii="Bookman Old Style" w:eastAsia="Bookman Old Style" w:hAnsi="Bookman Old Style" w:cs="Bookman Old Style"/>
              </w:rPr>
              <w:t>El Gobierno Nacional a través del Ministerio de las Culturas, las Artes y los Saberes, y en coordinación con el Departamento Nacional de Planeación, harán un seguimiento anual a la polít</w:t>
            </w:r>
            <w:r>
              <w:rPr>
                <w:rFonts w:ascii="Bookman Old Style" w:eastAsia="Bookman Old Style" w:hAnsi="Bookman Old Style" w:cs="Bookman Old Style"/>
              </w:rPr>
              <w:t>ica de Canasta Básica Cultural con el fin de evaluar su impacto. Dicha evaluación debe ser publicada a través de un documento de acceso público que será remitido a las Comisiones Sextas Constitucionales de la Cámara de Representantes y del Senado de la Rep</w:t>
            </w:r>
            <w:r>
              <w:rPr>
                <w:rFonts w:ascii="Bookman Old Style" w:eastAsia="Bookman Old Style" w:hAnsi="Bookman Old Style" w:cs="Bookman Old Style"/>
              </w:rPr>
              <w:t>ública</w:t>
            </w:r>
          </w:p>
        </w:tc>
        <w:tc>
          <w:tcPr>
            <w:tcW w:w="1995" w:type="dxa"/>
            <w:shd w:val="clear" w:color="auto" w:fill="auto"/>
            <w:tcMar>
              <w:top w:w="100" w:type="dxa"/>
              <w:left w:w="100" w:type="dxa"/>
              <w:bottom w:w="100" w:type="dxa"/>
              <w:right w:w="100" w:type="dxa"/>
            </w:tcMar>
          </w:tcPr>
          <w:p w:rsidR="00923769" w:rsidRDefault="00450620">
            <w:pPr>
              <w:widowControl w:val="0"/>
              <w:spacing w:line="240" w:lineRule="auto"/>
              <w:rPr>
                <w:rFonts w:ascii="Bookman Old Style" w:eastAsia="Bookman Old Style" w:hAnsi="Bookman Old Style" w:cs="Bookman Old Style"/>
                <w:b/>
              </w:rPr>
            </w:pPr>
            <w:r>
              <w:rPr>
                <w:rFonts w:ascii="Bookman Old Style" w:eastAsia="Bookman Old Style" w:hAnsi="Bookman Old Style" w:cs="Bookman Old Style"/>
              </w:rPr>
              <w:t xml:space="preserve">Se acoge el texto aprobado en Senado </w:t>
            </w:r>
          </w:p>
        </w:tc>
      </w:tr>
      <w:tr w:rsidR="00923769">
        <w:tc>
          <w:tcPr>
            <w:tcW w:w="3540" w:type="dxa"/>
            <w:shd w:val="clear" w:color="auto" w:fill="auto"/>
            <w:tcMar>
              <w:top w:w="100" w:type="dxa"/>
              <w:left w:w="100" w:type="dxa"/>
              <w:bottom w:w="100" w:type="dxa"/>
              <w:right w:w="100" w:type="dxa"/>
            </w:tcMar>
          </w:tcPr>
          <w:p w:rsidR="00923769" w:rsidRDefault="00450620">
            <w:pPr>
              <w:widowControl w:val="0"/>
              <w:pBdr>
                <w:top w:val="nil"/>
                <w:left w:val="nil"/>
                <w:bottom w:val="nil"/>
                <w:right w:val="nil"/>
                <w:between w:val="nil"/>
              </w:pBdr>
              <w:spacing w:line="240" w:lineRule="auto"/>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12. Campaña de difusión masiva. </w:t>
            </w:r>
            <w:r>
              <w:rPr>
                <w:rFonts w:ascii="Bookman Old Style" w:eastAsia="Bookman Old Style" w:hAnsi="Bookman Old Style" w:cs="Bookman Old Style"/>
              </w:rPr>
              <w:t>El Gobierno nacional deberá implementar una campaña de difusión masiva de la política de Canasta Básica de Cultura. En concurrencia del Ministerio de Cultura o quien hag</w:t>
            </w:r>
            <w:r>
              <w:rPr>
                <w:rFonts w:ascii="Bookman Old Style" w:eastAsia="Bookman Old Style" w:hAnsi="Bookman Old Style" w:cs="Bookman Old Style"/>
              </w:rPr>
              <w:t>a sus veces, y RTVC Sistema de Medios Públicos, crearán una estrategia para la articulación de los programas y proyectos con la campaña de difusión. El Ministerio de Tecnologías de la Información y las Comunicaciones o quien haga sus veces, creará un progr</w:t>
            </w:r>
            <w:r>
              <w:rPr>
                <w:rFonts w:ascii="Bookman Old Style" w:eastAsia="Bookman Old Style" w:hAnsi="Bookman Old Style" w:cs="Bookman Old Style"/>
              </w:rPr>
              <w:t xml:space="preserve">ama para emprendedores digitales </w:t>
            </w:r>
            <w:r>
              <w:rPr>
                <w:rFonts w:ascii="Bookman Old Style" w:eastAsia="Bookman Old Style" w:hAnsi="Bookman Old Style" w:cs="Bookman Old Style"/>
              </w:rPr>
              <w:lastRenderedPageBreak/>
              <w:t>que estén interesados en el desarrollo de soluciones para facilitar el acceso a la Canasta Cultural Básica.</w:t>
            </w:r>
          </w:p>
        </w:tc>
        <w:tc>
          <w:tcPr>
            <w:tcW w:w="3465" w:type="dxa"/>
            <w:shd w:val="clear" w:color="auto" w:fill="auto"/>
            <w:tcMar>
              <w:top w:w="100" w:type="dxa"/>
              <w:left w:w="100" w:type="dxa"/>
              <w:bottom w:w="100" w:type="dxa"/>
              <w:right w:w="100" w:type="dxa"/>
            </w:tcMar>
          </w:tcPr>
          <w:p w:rsidR="00923769" w:rsidRDefault="00450620">
            <w:pPr>
              <w:widowControl w:val="0"/>
              <w:spacing w:line="240" w:lineRule="auto"/>
              <w:jc w:val="both"/>
              <w:rPr>
                <w:rFonts w:ascii="Bookman Old Style" w:eastAsia="Bookman Old Style" w:hAnsi="Bookman Old Style" w:cs="Bookman Old Style"/>
              </w:rPr>
            </w:pPr>
            <w:r>
              <w:rPr>
                <w:rFonts w:ascii="Bookman Old Style" w:eastAsia="Bookman Old Style" w:hAnsi="Bookman Old Style" w:cs="Bookman Old Style"/>
                <w:b/>
              </w:rPr>
              <w:lastRenderedPageBreak/>
              <w:t>Artículo 13. Campaña de difusión masiva</w:t>
            </w:r>
            <w:r>
              <w:rPr>
                <w:rFonts w:ascii="Bookman Old Style" w:eastAsia="Bookman Old Style" w:hAnsi="Bookman Old Style" w:cs="Bookman Old Style"/>
              </w:rPr>
              <w:t xml:space="preserve">. El Gobierno nacional a través del Ministerio de las Culturas, las Artes y </w:t>
            </w:r>
            <w:r>
              <w:rPr>
                <w:rFonts w:ascii="Bookman Old Style" w:eastAsia="Bookman Old Style" w:hAnsi="Bookman Old Style" w:cs="Bookman Old Style"/>
              </w:rPr>
              <w:t xml:space="preserve">los Saberes, deberá implementar una campaña de difusión masiva de la política de la Canasta Básica Cultural. En concurrencia con el sector cultural y RTVC Sistema de Medios Públicos, crearán una estrategia para la articulación de los programas y proyectos </w:t>
            </w:r>
            <w:r>
              <w:rPr>
                <w:rFonts w:ascii="Bookman Old Style" w:eastAsia="Bookman Old Style" w:hAnsi="Bookman Old Style" w:cs="Bookman Old Style"/>
              </w:rPr>
              <w:t xml:space="preserve">con esta campaña de difusión. El Ministerio de Tecnologías de la Información y las Comunicaciones o quien haga sus veces, creará un programa </w:t>
            </w:r>
            <w:r>
              <w:rPr>
                <w:rFonts w:ascii="Bookman Old Style" w:eastAsia="Bookman Old Style" w:hAnsi="Bookman Old Style" w:cs="Bookman Old Style"/>
              </w:rPr>
              <w:lastRenderedPageBreak/>
              <w:t>para emprendedores digitales que estén interesados en el desarrollo de soluciones para facilitar el acceso a la Can</w:t>
            </w:r>
            <w:r>
              <w:rPr>
                <w:rFonts w:ascii="Bookman Old Style" w:eastAsia="Bookman Old Style" w:hAnsi="Bookman Old Style" w:cs="Bookman Old Style"/>
              </w:rPr>
              <w:t>asta Básica Cultural</w:t>
            </w:r>
          </w:p>
        </w:tc>
        <w:tc>
          <w:tcPr>
            <w:tcW w:w="1995" w:type="dxa"/>
            <w:shd w:val="clear" w:color="auto" w:fill="auto"/>
            <w:tcMar>
              <w:top w:w="100" w:type="dxa"/>
              <w:left w:w="100" w:type="dxa"/>
              <w:bottom w:w="100" w:type="dxa"/>
              <w:right w:w="100" w:type="dxa"/>
            </w:tcMar>
          </w:tcPr>
          <w:p w:rsidR="00923769" w:rsidRDefault="00450620">
            <w:pPr>
              <w:widowControl w:val="0"/>
              <w:spacing w:line="240" w:lineRule="auto"/>
              <w:rPr>
                <w:rFonts w:ascii="Bookman Old Style" w:eastAsia="Bookman Old Style" w:hAnsi="Bookman Old Style" w:cs="Bookman Old Style"/>
                <w:b/>
              </w:rPr>
            </w:pPr>
            <w:r>
              <w:rPr>
                <w:rFonts w:ascii="Bookman Old Style" w:eastAsia="Bookman Old Style" w:hAnsi="Bookman Old Style" w:cs="Bookman Old Style"/>
              </w:rPr>
              <w:lastRenderedPageBreak/>
              <w:t xml:space="preserve">Se acoge el texto aprobado en Senado </w:t>
            </w:r>
          </w:p>
        </w:tc>
      </w:tr>
      <w:tr w:rsidR="00923769">
        <w:tc>
          <w:tcPr>
            <w:tcW w:w="3540" w:type="dxa"/>
            <w:shd w:val="clear" w:color="auto" w:fill="auto"/>
            <w:tcMar>
              <w:top w:w="100" w:type="dxa"/>
              <w:left w:w="100" w:type="dxa"/>
              <w:bottom w:w="100" w:type="dxa"/>
              <w:right w:w="100" w:type="dxa"/>
            </w:tcMar>
          </w:tcPr>
          <w:p w:rsidR="00923769" w:rsidRDefault="00450620">
            <w:pPr>
              <w:widowControl w:val="0"/>
              <w:pBdr>
                <w:top w:val="nil"/>
                <w:left w:val="nil"/>
                <w:bottom w:val="nil"/>
                <w:right w:val="nil"/>
                <w:between w:val="nil"/>
              </w:pBdr>
              <w:spacing w:line="240" w:lineRule="auto"/>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13. Reglamentación de la Canasta Básica de Cultura. </w:t>
            </w:r>
            <w:r>
              <w:rPr>
                <w:rFonts w:ascii="Bookman Old Style" w:eastAsia="Bookman Old Style" w:hAnsi="Bookman Old Style" w:cs="Bookman Old Style"/>
              </w:rPr>
              <w:t>El Gobierno nacional por medio del Ministerio de Cultura contará con hasta un año, a partir de la entrada en vigencia de la presente ley, para reglamentar la política de Canasta Básica de Cultura y sus estrategias, conforme a lo dispuesto en esta ley. Dent</w:t>
            </w:r>
            <w:r>
              <w:rPr>
                <w:rFonts w:ascii="Bookman Old Style" w:eastAsia="Bookman Old Style" w:hAnsi="Bookman Old Style" w:cs="Bookman Old Style"/>
              </w:rPr>
              <w:t>ro de la reglamentación se incluirá el mecanismo para la distribución del bono del que trata esta ley, en articulación con las oficinas de cultura de las entidades territoriales, buscando alcanzar beneficiarios en todas las regiones.</w:t>
            </w:r>
          </w:p>
        </w:tc>
        <w:tc>
          <w:tcPr>
            <w:tcW w:w="3465" w:type="dxa"/>
            <w:shd w:val="clear" w:color="auto" w:fill="auto"/>
            <w:tcMar>
              <w:top w:w="100" w:type="dxa"/>
              <w:left w:w="100" w:type="dxa"/>
              <w:bottom w:w="100" w:type="dxa"/>
              <w:right w:w="100" w:type="dxa"/>
            </w:tcMar>
          </w:tcPr>
          <w:p w:rsidR="00923769" w:rsidRDefault="00450620">
            <w:pPr>
              <w:widowControl w:val="0"/>
              <w:spacing w:line="240" w:lineRule="auto"/>
              <w:jc w:val="both"/>
              <w:rPr>
                <w:sz w:val="23"/>
                <w:szCs w:val="23"/>
              </w:rPr>
            </w:pPr>
            <w:r>
              <w:rPr>
                <w:rFonts w:ascii="Bookman Old Style" w:eastAsia="Bookman Old Style" w:hAnsi="Bookman Old Style" w:cs="Bookman Old Style"/>
                <w:b/>
              </w:rPr>
              <w:t>Artículo 14. Reglament</w:t>
            </w:r>
            <w:r>
              <w:rPr>
                <w:rFonts w:ascii="Bookman Old Style" w:eastAsia="Bookman Old Style" w:hAnsi="Bookman Old Style" w:cs="Bookman Old Style"/>
                <w:b/>
              </w:rPr>
              <w:t>ación de la Canasta Básica Cultural.</w:t>
            </w:r>
            <w:r>
              <w:rPr>
                <w:b/>
                <w:sz w:val="23"/>
                <w:szCs w:val="23"/>
              </w:rPr>
              <w:t xml:space="preserve"> </w:t>
            </w:r>
            <w:r>
              <w:rPr>
                <w:sz w:val="23"/>
                <w:szCs w:val="23"/>
              </w:rPr>
              <w:t>El Gobierno nacional por medio del Ministerio de las Culturas, las Artes y los Saberes contará con un término máximo de hasta dieciocho (18) meses, a partir de la entrada en vigencia de la presente ley, para reglamentar</w:t>
            </w:r>
            <w:r>
              <w:rPr>
                <w:sz w:val="23"/>
                <w:szCs w:val="23"/>
              </w:rPr>
              <w:t xml:space="preserve"> la política de Canasta Básica Cultural y buscar la cofinanciación de sus programas y estrategias, conforme a lo dispuesto en la presente ley.</w:t>
            </w:r>
          </w:p>
          <w:p w:rsidR="00923769" w:rsidRDefault="00923769">
            <w:pPr>
              <w:widowControl w:val="0"/>
              <w:spacing w:line="240" w:lineRule="auto"/>
              <w:jc w:val="both"/>
              <w:rPr>
                <w:sz w:val="23"/>
                <w:szCs w:val="23"/>
              </w:rPr>
            </w:pPr>
          </w:p>
          <w:p w:rsidR="00923769" w:rsidRDefault="00450620">
            <w:pPr>
              <w:widowControl w:val="0"/>
              <w:spacing w:line="240" w:lineRule="auto"/>
              <w:jc w:val="both"/>
              <w:rPr>
                <w:rFonts w:ascii="Bookman Old Style" w:eastAsia="Bookman Old Style" w:hAnsi="Bookman Old Style" w:cs="Bookman Old Style"/>
              </w:rPr>
            </w:pPr>
            <w:r>
              <w:rPr>
                <w:b/>
                <w:sz w:val="23"/>
                <w:szCs w:val="23"/>
              </w:rPr>
              <w:t>Parágrafo</w:t>
            </w:r>
            <w:r>
              <w:rPr>
                <w:sz w:val="23"/>
                <w:szCs w:val="23"/>
              </w:rPr>
              <w:t>: Este proceso del que trata el presente artículo incluirá fases definidas para la implementación progr</w:t>
            </w:r>
            <w:r>
              <w:rPr>
                <w:sz w:val="23"/>
                <w:szCs w:val="23"/>
              </w:rPr>
              <w:t>esiva de la política , criterios de priorización, con metas e indicadores de seguimiento claros para evaluar el impacto y la efectividad de la Canasta Básica Cultural.</w:t>
            </w:r>
          </w:p>
        </w:tc>
        <w:tc>
          <w:tcPr>
            <w:tcW w:w="1995" w:type="dxa"/>
            <w:shd w:val="clear" w:color="auto" w:fill="auto"/>
            <w:tcMar>
              <w:top w:w="100" w:type="dxa"/>
              <w:left w:w="100" w:type="dxa"/>
              <w:bottom w:w="100" w:type="dxa"/>
              <w:right w:w="100" w:type="dxa"/>
            </w:tcMar>
          </w:tcPr>
          <w:p w:rsidR="00923769" w:rsidRDefault="00450620">
            <w:pPr>
              <w:widowControl w:val="0"/>
              <w:spacing w:line="240" w:lineRule="auto"/>
              <w:rPr>
                <w:rFonts w:ascii="Bookman Old Style" w:eastAsia="Bookman Old Style" w:hAnsi="Bookman Old Style" w:cs="Bookman Old Style"/>
                <w:b/>
              </w:rPr>
            </w:pPr>
            <w:r>
              <w:rPr>
                <w:rFonts w:ascii="Bookman Old Style" w:eastAsia="Bookman Old Style" w:hAnsi="Bookman Old Style" w:cs="Bookman Old Style"/>
              </w:rPr>
              <w:t xml:space="preserve">Se acoge el texto aprobado en Senado </w:t>
            </w:r>
          </w:p>
        </w:tc>
      </w:tr>
      <w:tr w:rsidR="00923769">
        <w:tc>
          <w:tcPr>
            <w:tcW w:w="3540" w:type="dxa"/>
            <w:shd w:val="clear" w:color="auto" w:fill="auto"/>
            <w:tcMar>
              <w:top w:w="100" w:type="dxa"/>
              <w:left w:w="100" w:type="dxa"/>
              <w:bottom w:w="100" w:type="dxa"/>
              <w:right w:w="100" w:type="dxa"/>
            </w:tcMar>
          </w:tcPr>
          <w:p w:rsidR="00923769" w:rsidRDefault="00450620">
            <w:pPr>
              <w:widowControl w:val="0"/>
              <w:pBdr>
                <w:top w:val="nil"/>
                <w:left w:val="nil"/>
                <w:bottom w:val="nil"/>
                <w:right w:val="nil"/>
                <w:between w:val="nil"/>
              </w:pBdr>
              <w:spacing w:line="240" w:lineRule="auto"/>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Nuevo. Apoyo a la programación local. </w:t>
            </w:r>
            <w:r>
              <w:rPr>
                <w:rFonts w:ascii="Bookman Old Style" w:eastAsia="Bookman Old Style" w:hAnsi="Bookman Old Style" w:cs="Bookman Old Style"/>
              </w:rPr>
              <w:t>Los entes territoriales y autoridades culturales estimularán la programación local que será de acceso libre y gratuito para llegar a públicos existentes, población vulnerable y priorizada. Parágrafo. Apoyo a la oferta formativa cultural en territorios prio</w:t>
            </w:r>
            <w:r>
              <w:rPr>
                <w:rFonts w:ascii="Bookman Old Style" w:eastAsia="Bookman Old Style" w:hAnsi="Bookman Old Style" w:cs="Bookman Old Style"/>
              </w:rPr>
              <w:t>rizados. Las autoridades culturales, estimularán la oferta cultural local que será de acceso libre y gratuito. Para llegar a públicos existentes, población vulnerable y priorizada</w:t>
            </w:r>
          </w:p>
        </w:tc>
        <w:tc>
          <w:tcPr>
            <w:tcW w:w="3465" w:type="dxa"/>
            <w:shd w:val="clear" w:color="auto" w:fill="auto"/>
            <w:tcMar>
              <w:top w:w="100" w:type="dxa"/>
              <w:left w:w="100" w:type="dxa"/>
              <w:bottom w:w="100" w:type="dxa"/>
              <w:right w:w="100" w:type="dxa"/>
            </w:tcMar>
          </w:tcPr>
          <w:p w:rsidR="00923769" w:rsidRDefault="00450620">
            <w:pPr>
              <w:widowControl w:val="0"/>
              <w:spacing w:line="240" w:lineRule="auto"/>
              <w:jc w:val="both"/>
              <w:rPr>
                <w:sz w:val="23"/>
                <w:szCs w:val="23"/>
              </w:rPr>
            </w:pPr>
            <w:r>
              <w:rPr>
                <w:rFonts w:ascii="Bookman Old Style" w:eastAsia="Bookman Old Style" w:hAnsi="Bookman Old Style" w:cs="Bookman Old Style"/>
                <w:b/>
              </w:rPr>
              <w:t>Artículo 15. Apoyo a la programación local.</w:t>
            </w:r>
            <w:r>
              <w:rPr>
                <w:b/>
                <w:sz w:val="23"/>
                <w:szCs w:val="23"/>
              </w:rPr>
              <w:t xml:space="preserve"> </w:t>
            </w:r>
            <w:r>
              <w:rPr>
                <w:sz w:val="23"/>
                <w:szCs w:val="23"/>
              </w:rPr>
              <w:t>Los entes territoriales y autoridades culturales estimularán la programación local, que será de acceso libre y gratuito para públicos existentes y población vulnerable y priorizada.</w:t>
            </w:r>
          </w:p>
          <w:p w:rsidR="00923769" w:rsidRDefault="00923769">
            <w:pPr>
              <w:widowControl w:val="0"/>
              <w:pBdr>
                <w:top w:val="nil"/>
                <w:left w:val="nil"/>
                <w:bottom w:val="nil"/>
                <w:right w:val="nil"/>
                <w:between w:val="nil"/>
              </w:pBdr>
              <w:spacing w:line="240" w:lineRule="auto"/>
              <w:jc w:val="both"/>
              <w:rPr>
                <w:rFonts w:ascii="Bookman Old Style" w:eastAsia="Bookman Old Style" w:hAnsi="Bookman Old Style" w:cs="Bookman Old Style"/>
                <w:b/>
              </w:rPr>
            </w:pPr>
          </w:p>
        </w:tc>
        <w:tc>
          <w:tcPr>
            <w:tcW w:w="1995" w:type="dxa"/>
            <w:shd w:val="clear" w:color="auto" w:fill="auto"/>
            <w:tcMar>
              <w:top w:w="100" w:type="dxa"/>
              <w:left w:w="100" w:type="dxa"/>
              <w:bottom w:w="100" w:type="dxa"/>
              <w:right w:w="100" w:type="dxa"/>
            </w:tcMar>
          </w:tcPr>
          <w:p w:rsidR="00923769" w:rsidRDefault="00450620">
            <w:pPr>
              <w:widowControl w:val="0"/>
              <w:spacing w:line="240" w:lineRule="auto"/>
              <w:rPr>
                <w:rFonts w:ascii="Bookman Old Style" w:eastAsia="Bookman Old Style" w:hAnsi="Bookman Old Style" w:cs="Bookman Old Style"/>
                <w:b/>
              </w:rPr>
            </w:pPr>
            <w:r>
              <w:rPr>
                <w:rFonts w:ascii="Bookman Old Style" w:eastAsia="Bookman Old Style" w:hAnsi="Bookman Old Style" w:cs="Bookman Old Style"/>
              </w:rPr>
              <w:t xml:space="preserve">Se acoge el texto aprobado en Senado </w:t>
            </w:r>
          </w:p>
        </w:tc>
      </w:tr>
      <w:tr w:rsidR="00923769">
        <w:tc>
          <w:tcPr>
            <w:tcW w:w="3540" w:type="dxa"/>
            <w:shd w:val="clear" w:color="auto" w:fill="auto"/>
            <w:tcMar>
              <w:top w:w="100" w:type="dxa"/>
              <w:left w:w="100" w:type="dxa"/>
              <w:bottom w:w="100" w:type="dxa"/>
              <w:right w:w="100" w:type="dxa"/>
            </w:tcMar>
          </w:tcPr>
          <w:p w:rsidR="00923769" w:rsidRDefault="00923769">
            <w:pPr>
              <w:widowControl w:val="0"/>
              <w:pBdr>
                <w:top w:val="nil"/>
                <w:left w:val="nil"/>
                <w:bottom w:val="nil"/>
                <w:right w:val="nil"/>
                <w:between w:val="nil"/>
              </w:pBdr>
              <w:spacing w:line="240" w:lineRule="auto"/>
              <w:jc w:val="both"/>
              <w:rPr>
                <w:rFonts w:ascii="Bookman Old Style" w:eastAsia="Bookman Old Style" w:hAnsi="Bookman Old Style" w:cs="Bookman Old Style"/>
                <w:b/>
              </w:rPr>
            </w:pPr>
          </w:p>
        </w:tc>
        <w:tc>
          <w:tcPr>
            <w:tcW w:w="3465" w:type="dxa"/>
            <w:shd w:val="clear" w:color="auto" w:fill="auto"/>
            <w:tcMar>
              <w:top w:w="100" w:type="dxa"/>
              <w:left w:w="100" w:type="dxa"/>
              <w:bottom w:w="100" w:type="dxa"/>
              <w:right w:w="100" w:type="dxa"/>
            </w:tcMar>
          </w:tcPr>
          <w:p w:rsidR="00923769" w:rsidRDefault="00450620">
            <w:pPr>
              <w:widowControl w:val="0"/>
              <w:spacing w:line="240" w:lineRule="auto"/>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16. Recursos de las </w:t>
            </w:r>
            <w:r>
              <w:rPr>
                <w:rFonts w:ascii="Bookman Old Style" w:eastAsia="Bookman Old Style" w:hAnsi="Bookman Old Style" w:cs="Bookman Old Style"/>
                <w:b/>
              </w:rPr>
              <w:lastRenderedPageBreak/>
              <w:t>Caja</w:t>
            </w:r>
            <w:r>
              <w:rPr>
                <w:rFonts w:ascii="Bookman Old Style" w:eastAsia="Bookman Old Style" w:hAnsi="Bookman Old Style" w:cs="Bookman Old Style"/>
                <w:b/>
              </w:rPr>
              <w:t xml:space="preserve">s de Compensación Familiar para fines de esta ley: </w:t>
            </w:r>
            <w:r>
              <w:rPr>
                <w:rFonts w:ascii="Bookman Old Style" w:eastAsia="Bookman Old Style" w:hAnsi="Bookman Old Style" w:cs="Bookman Old Style"/>
              </w:rPr>
              <w:t>Las Cajas de Compensación Familiar podrán hacer uso de los recursos del saldo de obras y programas, establecidos en el numeral 4 del artículo 43 de la Ley 21 de 1982, y de los recursos destinados en el art</w:t>
            </w:r>
            <w:r>
              <w:rPr>
                <w:rFonts w:ascii="Bookman Old Style" w:eastAsia="Bookman Old Style" w:hAnsi="Bookman Old Style" w:cs="Bookman Old Style"/>
              </w:rPr>
              <w:t>ículo 2.2.7.4.4.17 del Decreto 1072 de 2015, para los programas de educación básica y media, establecidos en el artículo 190 de la Ley 115 de 1994, también para los siguiente fines:</w:t>
            </w:r>
          </w:p>
          <w:p w:rsidR="00923769" w:rsidRDefault="00450620">
            <w:pPr>
              <w:widowControl w:val="0"/>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 </w:t>
            </w:r>
          </w:p>
          <w:p w:rsidR="00923769" w:rsidRDefault="00450620">
            <w:pPr>
              <w:widowControl w:val="0"/>
              <w:numPr>
                <w:ilvl w:val="0"/>
                <w:numId w:val="6"/>
              </w:numPr>
              <w:jc w:val="both"/>
              <w:rPr>
                <w:rFonts w:ascii="Bookman Old Style" w:eastAsia="Bookman Old Style" w:hAnsi="Bookman Old Style" w:cs="Bookman Old Style"/>
              </w:rPr>
            </w:pPr>
            <w:r>
              <w:rPr>
                <w:rFonts w:ascii="Bookman Old Style" w:eastAsia="Bookman Old Style" w:hAnsi="Bookman Old Style" w:cs="Bookman Old Style"/>
              </w:rPr>
              <w:t>Hacia la expansión y fortalecimiento de las bibliotecas e infraestructuras destinadas a los programas de formación continua, acceso al conocimiento e innovación social y cultural de la población, en los municipios, distritos y departamentos del país.</w:t>
            </w:r>
          </w:p>
          <w:p w:rsidR="00923769" w:rsidRDefault="00450620">
            <w:pPr>
              <w:widowControl w:val="0"/>
              <w:numPr>
                <w:ilvl w:val="0"/>
                <w:numId w:val="6"/>
              </w:numPr>
              <w:jc w:val="both"/>
              <w:rPr>
                <w:rFonts w:ascii="Bookman Old Style" w:eastAsia="Bookman Old Style" w:hAnsi="Bookman Old Style" w:cs="Bookman Old Style"/>
              </w:rPr>
            </w:pPr>
            <w:r>
              <w:rPr>
                <w:rFonts w:ascii="Bookman Old Style" w:eastAsia="Bookman Old Style" w:hAnsi="Bookman Old Style" w:cs="Bookman Old Style"/>
              </w:rPr>
              <w:t>La pr</w:t>
            </w:r>
            <w:r>
              <w:rPr>
                <w:rFonts w:ascii="Bookman Old Style" w:eastAsia="Bookman Old Style" w:hAnsi="Bookman Old Style" w:cs="Bookman Old Style"/>
              </w:rPr>
              <w:t>estación de servicios, tales como, la gestión operativa, la administración, dotación, adecuación, mejoramiento y mantenimiento de las bibliotecas propias o en alianza con terceros.</w:t>
            </w:r>
          </w:p>
          <w:p w:rsidR="00923769" w:rsidRDefault="00450620">
            <w:pPr>
              <w:widowControl w:val="0"/>
              <w:numPr>
                <w:ilvl w:val="0"/>
                <w:numId w:val="6"/>
              </w:numPr>
              <w:jc w:val="both"/>
              <w:rPr>
                <w:rFonts w:ascii="Bookman Old Style" w:eastAsia="Bookman Old Style" w:hAnsi="Bookman Old Style" w:cs="Bookman Old Style"/>
              </w:rPr>
            </w:pPr>
            <w:r>
              <w:rPr>
                <w:rFonts w:ascii="Bookman Old Style" w:eastAsia="Bookman Old Style" w:hAnsi="Bookman Old Style" w:cs="Bookman Old Style"/>
              </w:rPr>
              <w:t>Adicional al subsidio en especie, según la normatividad del sistema de subs</w:t>
            </w:r>
            <w:r>
              <w:rPr>
                <w:rFonts w:ascii="Bookman Old Style" w:eastAsia="Bookman Old Style" w:hAnsi="Bookman Old Style" w:cs="Bookman Old Style"/>
              </w:rPr>
              <w:t xml:space="preserve">idio familiar, apoyar a sus afiliados y beneficiarios con la financiación del </w:t>
            </w:r>
            <w:r>
              <w:rPr>
                <w:rFonts w:ascii="Bookman Old Style" w:eastAsia="Bookman Old Style" w:hAnsi="Bookman Old Style" w:cs="Bookman Old Style"/>
              </w:rPr>
              <w:lastRenderedPageBreak/>
              <w:t>Bono Cultural como uno de los mecanismos de la canasta básica prevista en la presente ley.</w:t>
            </w:r>
          </w:p>
          <w:p w:rsidR="00923769" w:rsidRDefault="00923769">
            <w:pPr>
              <w:widowControl w:val="0"/>
              <w:spacing w:line="240" w:lineRule="auto"/>
              <w:jc w:val="both"/>
              <w:rPr>
                <w:rFonts w:ascii="Bookman Old Style" w:eastAsia="Bookman Old Style" w:hAnsi="Bookman Old Style" w:cs="Bookman Old Style"/>
              </w:rPr>
            </w:pPr>
          </w:p>
          <w:p w:rsidR="00923769" w:rsidRDefault="00923769">
            <w:pPr>
              <w:widowControl w:val="0"/>
              <w:pBdr>
                <w:top w:val="nil"/>
                <w:left w:val="nil"/>
                <w:bottom w:val="nil"/>
                <w:right w:val="nil"/>
                <w:between w:val="nil"/>
              </w:pBdr>
              <w:spacing w:line="240" w:lineRule="auto"/>
              <w:jc w:val="both"/>
              <w:rPr>
                <w:rFonts w:ascii="Bookman Old Style" w:eastAsia="Bookman Old Style" w:hAnsi="Bookman Old Style" w:cs="Bookman Old Style"/>
                <w:b/>
              </w:rPr>
            </w:pPr>
          </w:p>
        </w:tc>
        <w:tc>
          <w:tcPr>
            <w:tcW w:w="1995" w:type="dxa"/>
            <w:shd w:val="clear" w:color="auto" w:fill="auto"/>
            <w:tcMar>
              <w:top w:w="100" w:type="dxa"/>
              <w:left w:w="100" w:type="dxa"/>
              <w:bottom w:w="100" w:type="dxa"/>
              <w:right w:w="100" w:type="dxa"/>
            </w:tcMar>
          </w:tcPr>
          <w:p w:rsidR="00923769" w:rsidRDefault="00450620">
            <w:pPr>
              <w:widowControl w:val="0"/>
              <w:spacing w:line="240" w:lineRule="auto"/>
              <w:rPr>
                <w:rFonts w:ascii="Bookman Old Style" w:eastAsia="Bookman Old Style" w:hAnsi="Bookman Old Style" w:cs="Bookman Old Style"/>
                <w:b/>
              </w:rPr>
            </w:pPr>
            <w:r>
              <w:rPr>
                <w:rFonts w:ascii="Bookman Old Style" w:eastAsia="Bookman Old Style" w:hAnsi="Bookman Old Style" w:cs="Bookman Old Style"/>
              </w:rPr>
              <w:lastRenderedPageBreak/>
              <w:t xml:space="preserve">Se acoge el texto </w:t>
            </w:r>
            <w:r>
              <w:rPr>
                <w:rFonts w:ascii="Bookman Old Style" w:eastAsia="Bookman Old Style" w:hAnsi="Bookman Old Style" w:cs="Bookman Old Style"/>
              </w:rPr>
              <w:lastRenderedPageBreak/>
              <w:t xml:space="preserve">aprobado en Senado </w:t>
            </w:r>
          </w:p>
        </w:tc>
      </w:tr>
      <w:tr w:rsidR="00923769">
        <w:tc>
          <w:tcPr>
            <w:tcW w:w="3540" w:type="dxa"/>
            <w:shd w:val="clear" w:color="auto" w:fill="auto"/>
            <w:tcMar>
              <w:top w:w="100" w:type="dxa"/>
              <w:left w:w="100" w:type="dxa"/>
              <w:bottom w:w="100" w:type="dxa"/>
              <w:right w:w="100" w:type="dxa"/>
            </w:tcMar>
          </w:tcPr>
          <w:p w:rsidR="00923769" w:rsidRDefault="00923769">
            <w:pPr>
              <w:widowControl w:val="0"/>
              <w:pBdr>
                <w:top w:val="nil"/>
                <w:left w:val="nil"/>
                <w:bottom w:val="nil"/>
                <w:right w:val="nil"/>
                <w:between w:val="nil"/>
              </w:pBdr>
              <w:spacing w:line="240" w:lineRule="auto"/>
              <w:jc w:val="both"/>
              <w:rPr>
                <w:rFonts w:ascii="Bookman Old Style" w:eastAsia="Bookman Old Style" w:hAnsi="Bookman Old Style" w:cs="Bookman Old Style"/>
                <w:b/>
              </w:rPr>
            </w:pPr>
          </w:p>
        </w:tc>
        <w:tc>
          <w:tcPr>
            <w:tcW w:w="3465" w:type="dxa"/>
            <w:shd w:val="clear" w:color="auto" w:fill="auto"/>
            <w:tcMar>
              <w:top w:w="100" w:type="dxa"/>
              <w:left w:w="100" w:type="dxa"/>
              <w:bottom w:w="100" w:type="dxa"/>
              <w:right w:w="100" w:type="dxa"/>
            </w:tcMar>
          </w:tcPr>
          <w:p w:rsidR="00923769" w:rsidRDefault="00450620">
            <w:pPr>
              <w:widowControl w:val="0"/>
              <w:spacing w:line="240" w:lineRule="auto"/>
              <w:jc w:val="both"/>
              <w:rPr>
                <w:rFonts w:ascii="Bookman Old Style" w:eastAsia="Bookman Old Style" w:hAnsi="Bookman Old Style" w:cs="Bookman Old Style"/>
                <w:b/>
              </w:rPr>
            </w:pPr>
            <w:r>
              <w:rPr>
                <w:rFonts w:ascii="Bookman Old Style" w:eastAsia="Bookman Old Style" w:hAnsi="Bookman Old Style" w:cs="Bookman Old Style"/>
                <w:b/>
              </w:rPr>
              <w:t xml:space="preserve">Artículo 17. </w:t>
            </w:r>
            <w:r>
              <w:rPr>
                <w:rFonts w:ascii="Bookman Old Style" w:eastAsia="Bookman Old Style" w:hAnsi="Bookman Old Style" w:cs="Bookman Old Style"/>
              </w:rPr>
              <w:t>Con el propósito de visibilizar la oferta de acceso a la cultura y aumentar la formación de públicos y el consumo, el Ministerio de las Culturas, las Artes y los Saberes, con la participación de las entidades territoriales, desarrollará un aplicativo móvil</w:t>
            </w:r>
            <w:r>
              <w:rPr>
                <w:rFonts w:ascii="Bookman Old Style" w:eastAsia="Bookman Old Style" w:hAnsi="Bookman Old Style" w:cs="Bookman Old Style"/>
              </w:rPr>
              <w:t xml:space="preserve"> que visibilice la programación periódica y mecanismos de gestión de audiencias de la Canasta Básica Cultural.</w:t>
            </w:r>
          </w:p>
        </w:tc>
        <w:tc>
          <w:tcPr>
            <w:tcW w:w="1995" w:type="dxa"/>
            <w:shd w:val="clear" w:color="auto" w:fill="auto"/>
            <w:tcMar>
              <w:top w:w="100" w:type="dxa"/>
              <w:left w:w="100" w:type="dxa"/>
              <w:bottom w:w="100" w:type="dxa"/>
              <w:right w:w="100" w:type="dxa"/>
            </w:tcMar>
          </w:tcPr>
          <w:p w:rsidR="00923769" w:rsidRDefault="00450620">
            <w:pPr>
              <w:widowControl w:val="0"/>
              <w:spacing w:line="240" w:lineRule="auto"/>
              <w:rPr>
                <w:rFonts w:ascii="Bookman Old Style" w:eastAsia="Bookman Old Style" w:hAnsi="Bookman Old Style" w:cs="Bookman Old Style"/>
                <w:b/>
              </w:rPr>
            </w:pPr>
            <w:r>
              <w:rPr>
                <w:rFonts w:ascii="Bookman Old Style" w:eastAsia="Bookman Old Style" w:hAnsi="Bookman Old Style" w:cs="Bookman Old Style"/>
              </w:rPr>
              <w:t xml:space="preserve">Se acoge el texto aprobado en Senado </w:t>
            </w:r>
          </w:p>
        </w:tc>
      </w:tr>
      <w:tr w:rsidR="00923769">
        <w:tc>
          <w:tcPr>
            <w:tcW w:w="3540" w:type="dxa"/>
            <w:shd w:val="clear" w:color="auto" w:fill="auto"/>
            <w:tcMar>
              <w:top w:w="100" w:type="dxa"/>
              <w:left w:w="100" w:type="dxa"/>
              <w:bottom w:w="100" w:type="dxa"/>
              <w:right w:w="100" w:type="dxa"/>
            </w:tcMar>
          </w:tcPr>
          <w:p w:rsidR="00923769" w:rsidRDefault="00450620">
            <w:pPr>
              <w:widowControl w:val="0"/>
              <w:pBdr>
                <w:top w:val="nil"/>
                <w:left w:val="nil"/>
                <w:bottom w:val="nil"/>
                <w:right w:val="nil"/>
                <w:between w:val="nil"/>
              </w:pBdr>
              <w:spacing w:line="240" w:lineRule="auto"/>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14. Vigencia y derogatorias. </w:t>
            </w:r>
            <w:r>
              <w:rPr>
                <w:rFonts w:ascii="Bookman Old Style" w:eastAsia="Bookman Old Style" w:hAnsi="Bookman Old Style" w:cs="Bookman Old Style"/>
              </w:rPr>
              <w:t>La presente ley rige a partir de la fecha de su publicación, y derog</w:t>
            </w:r>
            <w:r>
              <w:rPr>
                <w:rFonts w:ascii="Bookman Old Style" w:eastAsia="Bookman Old Style" w:hAnsi="Bookman Old Style" w:cs="Bookman Old Style"/>
              </w:rPr>
              <w:t>a las disposiciones que le sean contrarias.</w:t>
            </w:r>
          </w:p>
        </w:tc>
        <w:tc>
          <w:tcPr>
            <w:tcW w:w="3465" w:type="dxa"/>
            <w:shd w:val="clear" w:color="auto" w:fill="auto"/>
            <w:tcMar>
              <w:top w:w="100" w:type="dxa"/>
              <w:left w:w="100" w:type="dxa"/>
              <w:bottom w:w="100" w:type="dxa"/>
              <w:right w:w="100" w:type="dxa"/>
            </w:tcMar>
          </w:tcPr>
          <w:p w:rsidR="00923769" w:rsidRDefault="00450620">
            <w:pPr>
              <w:widowControl w:val="0"/>
              <w:jc w:val="both"/>
              <w:rPr>
                <w:rFonts w:ascii="Bookman Old Style" w:eastAsia="Bookman Old Style" w:hAnsi="Bookman Old Style" w:cs="Bookman Old Style"/>
              </w:rPr>
            </w:pPr>
            <w:r>
              <w:rPr>
                <w:rFonts w:ascii="Bookman Old Style" w:eastAsia="Bookman Old Style" w:hAnsi="Bookman Old Style" w:cs="Bookman Old Style"/>
                <w:b/>
              </w:rPr>
              <w:t>Artículo 18. Vigencia y derogatorias.</w:t>
            </w:r>
            <w:r>
              <w:rPr>
                <w:rFonts w:ascii="Bookman Old Style" w:eastAsia="Bookman Old Style" w:hAnsi="Bookman Old Style" w:cs="Bookman Old Style"/>
                <w:b/>
                <w:sz w:val="23"/>
                <w:szCs w:val="23"/>
              </w:rPr>
              <w:t xml:space="preserve"> </w:t>
            </w:r>
            <w:r>
              <w:rPr>
                <w:rFonts w:ascii="Bookman Old Style" w:eastAsia="Bookman Old Style" w:hAnsi="Bookman Old Style" w:cs="Bookman Old Style"/>
              </w:rPr>
              <w:t>La presente ley rige a partir de la fecha de su publicación, y deroga las disposiciones que le sean contrarias.</w:t>
            </w:r>
          </w:p>
          <w:p w:rsidR="00923769" w:rsidRDefault="00923769">
            <w:pPr>
              <w:widowControl w:val="0"/>
              <w:pBdr>
                <w:top w:val="nil"/>
                <w:left w:val="nil"/>
                <w:bottom w:val="nil"/>
                <w:right w:val="nil"/>
                <w:between w:val="nil"/>
              </w:pBdr>
              <w:spacing w:line="240" w:lineRule="auto"/>
              <w:jc w:val="both"/>
              <w:rPr>
                <w:rFonts w:ascii="Bookman Old Style" w:eastAsia="Bookman Old Style" w:hAnsi="Bookman Old Style" w:cs="Bookman Old Style"/>
                <w:b/>
              </w:rPr>
            </w:pPr>
          </w:p>
        </w:tc>
        <w:tc>
          <w:tcPr>
            <w:tcW w:w="1995" w:type="dxa"/>
            <w:shd w:val="clear" w:color="auto" w:fill="auto"/>
            <w:tcMar>
              <w:top w:w="100" w:type="dxa"/>
              <w:left w:w="100" w:type="dxa"/>
              <w:bottom w:w="100" w:type="dxa"/>
              <w:right w:w="100" w:type="dxa"/>
            </w:tcMar>
          </w:tcPr>
          <w:p w:rsidR="00923769" w:rsidRDefault="00450620">
            <w:pPr>
              <w:widowControl w:val="0"/>
              <w:spacing w:line="240" w:lineRule="auto"/>
              <w:rPr>
                <w:rFonts w:ascii="Bookman Old Style" w:eastAsia="Bookman Old Style" w:hAnsi="Bookman Old Style" w:cs="Bookman Old Style"/>
                <w:b/>
              </w:rPr>
            </w:pPr>
            <w:r>
              <w:rPr>
                <w:rFonts w:ascii="Bookman Old Style" w:eastAsia="Bookman Old Style" w:hAnsi="Bookman Old Style" w:cs="Bookman Old Style"/>
              </w:rPr>
              <w:t xml:space="preserve">Se acoge el texto aprobado en Senado </w:t>
            </w:r>
          </w:p>
        </w:tc>
      </w:tr>
    </w:tbl>
    <w:p w:rsidR="00923769" w:rsidRDefault="00923769">
      <w:pPr>
        <w:rPr>
          <w:b/>
        </w:rPr>
      </w:pPr>
    </w:p>
    <w:p w:rsidR="00923769" w:rsidRDefault="00923769">
      <w:pPr>
        <w:rPr>
          <w:b/>
        </w:rPr>
      </w:pPr>
    </w:p>
    <w:p w:rsidR="00923769" w:rsidRDefault="00923769">
      <w:pPr>
        <w:rPr>
          <w:b/>
        </w:rPr>
      </w:pPr>
    </w:p>
    <w:p w:rsidR="00923769" w:rsidRDefault="00923769">
      <w:pPr>
        <w:rPr>
          <w:b/>
        </w:rPr>
      </w:pPr>
    </w:p>
    <w:p w:rsidR="00923769" w:rsidRDefault="00450620">
      <w:pPr>
        <w:numPr>
          <w:ilvl w:val="0"/>
          <w:numId w:val="9"/>
        </w:numPr>
        <w:rPr>
          <w:b/>
        </w:rPr>
      </w:pPr>
      <w:r>
        <w:rPr>
          <w:b/>
        </w:rPr>
        <w:t xml:space="preserve">TEXTO CONCILIADO DEL PROYECTO DE LEY </w:t>
      </w:r>
    </w:p>
    <w:p w:rsidR="00923769" w:rsidRDefault="00923769">
      <w:pPr>
        <w:rPr>
          <w:b/>
        </w:rPr>
      </w:pPr>
    </w:p>
    <w:p w:rsidR="00923769" w:rsidRDefault="00923769">
      <w:pPr>
        <w:rPr>
          <w:b/>
        </w:rPr>
      </w:pPr>
    </w:p>
    <w:p w:rsidR="00923769" w:rsidRDefault="00450620">
      <w:pPr>
        <w:jc w:val="center"/>
        <w:rPr>
          <w:rFonts w:ascii="Bookman Old Style" w:eastAsia="Bookman Old Style" w:hAnsi="Bookman Old Style" w:cs="Bookman Old Style"/>
          <w:b/>
        </w:rPr>
      </w:pPr>
      <w:r>
        <w:rPr>
          <w:rFonts w:ascii="Bookman Old Style" w:eastAsia="Bookman Old Style" w:hAnsi="Bookman Old Style" w:cs="Bookman Old Style"/>
          <w:b/>
        </w:rPr>
        <w:t>PROYECTO DE LEY No. 343 DE 2023 SENADO – 209 DE 2022 CÁMARA “POR MEDIO DEL CUAL SE ESTABLECE LA CANASTA BÁSICA CULTURAL EN EL PAÍS”.</w:t>
      </w:r>
    </w:p>
    <w:p w:rsidR="00923769" w:rsidRDefault="00923769">
      <w:pPr>
        <w:jc w:val="center"/>
        <w:rPr>
          <w:rFonts w:ascii="Bookman Old Style" w:eastAsia="Bookman Old Style" w:hAnsi="Bookman Old Style" w:cs="Bookman Old Style"/>
          <w:b/>
        </w:rPr>
      </w:pPr>
    </w:p>
    <w:p w:rsidR="00923769" w:rsidRDefault="00450620">
      <w:pPr>
        <w:jc w:val="center"/>
        <w:rPr>
          <w:rFonts w:ascii="Bookman Old Style" w:eastAsia="Bookman Old Style" w:hAnsi="Bookman Old Style" w:cs="Bookman Old Style"/>
          <w:b/>
        </w:rPr>
      </w:pPr>
      <w:r>
        <w:rPr>
          <w:rFonts w:ascii="Bookman Old Style" w:eastAsia="Bookman Old Style" w:hAnsi="Bookman Old Style" w:cs="Bookman Old Style"/>
          <w:b/>
        </w:rPr>
        <w:t>El Congreso de Colombia</w:t>
      </w:r>
    </w:p>
    <w:p w:rsidR="00923769" w:rsidRDefault="00923769">
      <w:pPr>
        <w:jc w:val="center"/>
        <w:rPr>
          <w:rFonts w:ascii="Bookman Old Style" w:eastAsia="Bookman Old Style" w:hAnsi="Bookman Old Style" w:cs="Bookman Old Style"/>
          <w:b/>
        </w:rPr>
      </w:pPr>
    </w:p>
    <w:p w:rsidR="00923769" w:rsidRDefault="00450620">
      <w:pPr>
        <w:jc w:val="center"/>
        <w:rPr>
          <w:rFonts w:ascii="Bookman Old Style" w:eastAsia="Bookman Old Style" w:hAnsi="Bookman Old Style" w:cs="Bookman Old Style"/>
          <w:b/>
        </w:rPr>
      </w:pPr>
      <w:r>
        <w:rPr>
          <w:rFonts w:ascii="Bookman Old Style" w:eastAsia="Bookman Old Style" w:hAnsi="Bookman Old Style" w:cs="Bookman Old Style"/>
          <w:b/>
        </w:rPr>
        <w:t xml:space="preserve">DECRETA </w:t>
      </w:r>
    </w:p>
    <w:p w:rsidR="00923769" w:rsidRDefault="00923769">
      <w:pPr>
        <w:jc w:val="both"/>
        <w:rPr>
          <w:rFonts w:ascii="Bookman Old Style" w:eastAsia="Bookman Old Style" w:hAnsi="Bookman Old Style" w:cs="Bookman Old Style"/>
          <w:b/>
        </w:rPr>
      </w:pPr>
    </w:p>
    <w:p w:rsidR="00923769" w:rsidRDefault="00450620">
      <w:pPr>
        <w:jc w:val="both"/>
        <w:rPr>
          <w:rFonts w:ascii="Bookman Old Style" w:eastAsia="Bookman Old Style" w:hAnsi="Bookman Old Style" w:cs="Bookman Old Style"/>
        </w:rPr>
      </w:pPr>
      <w:r>
        <w:rPr>
          <w:rFonts w:ascii="Bookman Old Style" w:eastAsia="Bookman Old Style" w:hAnsi="Bookman Old Style" w:cs="Bookman Old Style"/>
          <w:b/>
        </w:rPr>
        <w:t>Artículo 1°. Objeto.</w:t>
      </w:r>
      <w:r>
        <w:rPr>
          <w:rFonts w:ascii="Bookman Old Style" w:eastAsia="Bookman Old Style" w:hAnsi="Bookman Old Style" w:cs="Bookman Old Style"/>
        </w:rPr>
        <w:t xml:space="preserve"> La presente ley busca esta</w:t>
      </w:r>
      <w:r>
        <w:rPr>
          <w:rFonts w:ascii="Bookman Old Style" w:eastAsia="Bookman Old Style" w:hAnsi="Bookman Old Style" w:cs="Bookman Old Style"/>
        </w:rPr>
        <w:t>blecer la Canasta Básica de Cultura para garantizar el acceso efectivo a las ofertas culturales a través de acciones dirigidas y diferenciadas que fortalezcan la sostenibilidad de los actores culturales colombianos por medio del consumo local y nacional po</w:t>
      </w:r>
      <w:r>
        <w:rPr>
          <w:rFonts w:ascii="Bookman Old Style" w:eastAsia="Bookman Old Style" w:hAnsi="Bookman Old Style" w:cs="Bookman Old Style"/>
        </w:rPr>
        <w:t xml:space="preserve">r medio de incentivos, </w:t>
      </w:r>
      <w:r>
        <w:rPr>
          <w:rFonts w:ascii="Bookman Old Style" w:eastAsia="Bookman Old Style" w:hAnsi="Bookman Old Style" w:cs="Bookman Old Style"/>
        </w:rPr>
        <w:lastRenderedPageBreak/>
        <w:t xml:space="preserve">acciones dirigidas y diferenciadas que fortalezcan el intercambio, la generación de valor, simbólico o económico, y la sostenibilidad de los actores culturales del país.. </w:t>
      </w:r>
    </w:p>
    <w:p w:rsidR="00923769" w:rsidRDefault="00923769">
      <w:pPr>
        <w:jc w:val="both"/>
        <w:rPr>
          <w:rFonts w:ascii="Bookman Old Style" w:eastAsia="Bookman Old Style" w:hAnsi="Bookman Old Style" w:cs="Bookman Old Style"/>
        </w:rPr>
      </w:pPr>
    </w:p>
    <w:p w:rsidR="00923769" w:rsidRDefault="00450620">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2°. Ámbito de aplicación. </w:t>
      </w:r>
      <w:r>
        <w:rPr>
          <w:rFonts w:ascii="Bookman Old Style" w:eastAsia="Bookman Old Style" w:hAnsi="Bookman Old Style" w:cs="Bookman Old Style"/>
        </w:rPr>
        <w:t>La presente ley será apli</w:t>
      </w:r>
      <w:r>
        <w:rPr>
          <w:rFonts w:ascii="Bookman Old Style" w:eastAsia="Bookman Old Style" w:hAnsi="Bookman Old Style" w:cs="Bookman Old Style"/>
        </w:rPr>
        <w:t xml:space="preserve">cada a las personas con nacionalidad colombiana, especialmente a las que, por razón de su condición socioeconómica o del territorio, no les resulte de fácil acceso la oferta cultural. </w:t>
      </w:r>
    </w:p>
    <w:p w:rsidR="00923769" w:rsidRDefault="00923769">
      <w:pPr>
        <w:jc w:val="both"/>
        <w:rPr>
          <w:rFonts w:ascii="Bookman Old Style" w:eastAsia="Bookman Old Style" w:hAnsi="Bookman Old Style" w:cs="Bookman Old Style"/>
        </w:rPr>
      </w:pPr>
    </w:p>
    <w:p w:rsidR="00923769" w:rsidRDefault="00450620">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3°. Definiciones. </w:t>
      </w:r>
      <w:r>
        <w:rPr>
          <w:rFonts w:ascii="Bookman Old Style" w:eastAsia="Bookman Old Style" w:hAnsi="Bookman Old Style" w:cs="Bookman Old Style"/>
        </w:rPr>
        <w:t>La presente ley se interpretará a la luz de</w:t>
      </w:r>
      <w:r>
        <w:rPr>
          <w:rFonts w:ascii="Bookman Old Style" w:eastAsia="Bookman Old Style" w:hAnsi="Bookman Old Style" w:cs="Bookman Old Style"/>
        </w:rPr>
        <w:t xml:space="preserve"> las siguientes definiciones. </w:t>
      </w:r>
    </w:p>
    <w:p w:rsidR="00923769" w:rsidRDefault="00450620">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1. </w:t>
      </w:r>
      <w:r>
        <w:rPr>
          <w:rFonts w:ascii="Bookman Old Style" w:eastAsia="Bookman Old Style" w:hAnsi="Bookman Old Style" w:cs="Bookman Old Style"/>
          <w:b/>
        </w:rPr>
        <w:t>Derechos culturales.</w:t>
      </w:r>
      <w:r>
        <w:rPr>
          <w:rFonts w:ascii="Bookman Old Style" w:eastAsia="Bookman Old Style" w:hAnsi="Bookman Old Style" w:cs="Bookman Old Style"/>
        </w:rPr>
        <w:t xml:space="preserve"> Son aquellos que hacen referencia a la identidad y diversidad cultural, al derecho a participar de la cultura, a la educación cultural, a la creación y gestión cultural, la información y la cooperación</w:t>
      </w:r>
      <w:r>
        <w:rPr>
          <w:rFonts w:ascii="Bookman Old Style" w:eastAsia="Bookman Old Style" w:hAnsi="Bookman Old Style" w:cs="Bookman Old Style"/>
        </w:rPr>
        <w:t xml:space="preserve"> cultural. </w:t>
      </w:r>
    </w:p>
    <w:p w:rsidR="00923769" w:rsidRDefault="00450620">
      <w:pPr>
        <w:ind w:left="720"/>
        <w:jc w:val="both"/>
        <w:rPr>
          <w:rFonts w:ascii="Bookman Old Style" w:eastAsia="Bookman Old Style" w:hAnsi="Bookman Old Style" w:cs="Bookman Old Style"/>
        </w:rPr>
      </w:pPr>
      <w:r>
        <w:rPr>
          <w:rFonts w:ascii="Bookman Old Style" w:eastAsia="Bookman Old Style" w:hAnsi="Bookman Old Style" w:cs="Bookman Old Style"/>
          <w:b/>
        </w:rPr>
        <w:t>2. Canasta Básica Cultural.</w:t>
      </w:r>
      <w:r>
        <w:rPr>
          <w:rFonts w:ascii="Bookman Old Style" w:eastAsia="Bookman Old Style" w:hAnsi="Bookman Old Style" w:cs="Bookman Old Style"/>
        </w:rPr>
        <w:t xml:space="preserve"> Hace referencia a los diversos mecanismos destinados a generar acceso cultural a través de un conjunto de medios tales como: instrumentos, beneficios, bienes y servicios educativos, artísticos y culturales existentes</w:t>
      </w:r>
      <w:r>
        <w:rPr>
          <w:rFonts w:ascii="Bookman Old Style" w:eastAsia="Bookman Old Style" w:hAnsi="Bookman Old Style" w:cs="Bookman Old Style"/>
        </w:rPr>
        <w:t xml:space="preserve"> e innovadores, que buscan garantizar el ejercicio efectivo de la vida cultural en toda la población, en particular, pero no exclusivamente a través de la asistencia a eventos, presentaciones, espectáculos y espacios culturales; la asistencia a cine; teatr</w:t>
      </w:r>
      <w:r>
        <w:rPr>
          <w:rFonts w:ascii="Bookman Old Style" w:eastAsia="Bookman Old Style" w:hAnsi="Bookman Old Style" w:cs="Bookman Old Style"/>
        </w:rPr>
        <w:t>o, museos y exposiciones, la lectura de productos editoriales impresos y digitales; la formación, y el ejercicio de las prácticas culturales.</w:t>
      </w:r>
    </w:p>
    <w:p w:rsidR="00923769" w:rsidRDefault="00450620">
      <w:pPr>
        <w:ind w:left="720"/>
        <w:jc w:val="both"/>
        <w:rPr>
          <w:rFonts w:ascii="Bookman Old Style" w:eastAsia="Bookman Old Style" w:hAnsi="Bookman Old Style" w:cs="Bookman Old Style"/>
        </w:rPr>
      </w:pPr>
      <w:r>
        <w:rPr>
          <w:rFonts w:ascii="Bookman Old Style" w:eastAsia="Bookman Old Style" w:hAnsi="Bookman Old Style" w:cs="Bookman Old Style"/>
          <w:b/>
        </w:rPr>
        <w:t>3. Consumo cultural.</w:t>
      </w:r>
      <w:r>
        <w:rPr>
          <w:rFonts w:ascii="Bookman Old Style" w:eastAsia="Bookman Old Style" w:hAnsi="Bookman Old Style" w:cs="Bookman Old Style"/>
        </w:rPr>
        <w:t xml:space="preserve"> Conjunto de prácticas realizadas por los individuos para el acceso, disfrute, apropiación y u</w:t>
      </w:r>
      <w:r>
        <w:rPr>
          <w:rFonts w:ascii="Bookman Old Style" w:eastAsia="Bookman Old Style" w:hAnsi="Bookman Old Style" w:cs="Bookman Old Style"/>
        </w:rPr>
        <w:t xml:space="preserve">so de bienes, servicios y espacios culturales. </w:t>
      </w:r>
    </w:p>
    <w:p w:rsidR="00923769" w:rsidRDefault="00450620">
      <w:pPr>
        <w:ind w:left="720"/>
        <w:jc w:val="both"/>
        <w:rPr>
          <w:rFonts w:ascii="Bookman Old Style" w:eastAsia="Bookman Old Style" w:hAnsi="Bookman Old Style" w:cs="Bookman Old Style"/>
        </w:rPr>
      </w:pPr>
      <w:r>
        <w:rPr>
          <w:rFonts w:ascii="Bookman Old Style" w:eastAsia="Bookman Old Style" w:hAnsi="Bookman Old Style" w:cs="Bookman Old Style"/>
          <w:b/>
        </w:rPr>
        <w:t>4. Espacios culturales.</w:t>
      </w:r>
      <w:r>
        <w:rPr>
          <w:rFonts w:ascii="Bookman Old Style" w:eastAsia="Bookman Old Style" w:hAnsi="Bookman Old Style" w:cs="Bookman Old Style"/>
        </w:rPr>
        <w:t xml:space="preserve"> Infraestructuras físicas que tienen como principal objetivo servir de escenario para el desarrollo de múltiples actividades y prácticas culturales, que faciliten el acceso a diversos bienes y servicios culturales por parte de la población en general. Es e</w:t>
      </w:r>
      <w:r>
        <w:rPr>
          <w:rFonts w:ascii="Bookman Old Style" w:eastAsia="Bookman Old Style" w:hAnsi="Bookman Old Style" w:cs="Bookman Old Style"/>
        </w:rPr>
        <w:t xml:space="preserve">l caso, entre otros, del espacio público, de las bibliotecas, las casas de cultura, los museos, las galerías de arte y salas de exposición, los centros históricos o de memoria histórica, archivos, instituciones educativas y bienes de interés cultural. </w:t>
      </w:r>
    </w:p>
    <w:p w:rsidR="00923769" w:rsidRDefault="00450620">
      <w:pPr>
        <w:ind w:left="720"/>
        <w:jc w:val="both"/>
        <w:rPr>
          <w:rFonts w:ascii="Bookman Old Style" w:eastAsia="Bookman Old Style" w:hAnsi="Bookman Old Style" w:cs="Bookman Old Style"/>
        </w:rPr>
      </w:pPr>
      <w:r>
        <w:rPr>
          <w:rFonts w:ascii="Bookman Old Style" w:eastAsia="Bookman Old Style" w:hAnsi="Bookman Old Style" w:cs="Bookman Old Style"/>
          <w:b/>
        </w:rPr>
        <w:t xml:space="preserve">5. </w:t>
      </w:r>
      <w:r>
        <w:rPr>
          <w:rFonts w:ascii="Bookman Old Style" w:eastAsia="Bookman Old Style" w:hAnsi="Bookman Old Style" w:cs="Bookman Old Style"/>
          <w:b/>
        </w:rPr>
        <w:t>Formación y gestión de audiencias.</w:t>
      </w:r>
      <w:r>
        <w:rPr>
          <w:rFonts w:ascii="Bookman Old Style" w:eastAsia="Bookman Old Style" w:hAnsi="Bookman Old Style" w:cs="Bookman Old Style"/>
        </w:rPr>
        <w:t xml:space="preserve"> Son las iniciativas pedagógicas dirigidas a la formación que se da desde la primera infancia para la comprensión, el disfrute y la apropiación de las diferentes expresiones artísticas y culturales. La formación de público</w:t>
      </w:r>
      <w:r>
        <w:rPr>
          <w:rFonts w:ascii="Bookman Old Style" w:eastAsia="Bookman Old Style" w:hAnsi="Bookman Old Style" w:cs="Bookman Old Style"/>
        </w:rPr>
        <w:t xml:space="preserve">s se extiende a lo largo de la vida del individuo, pero es prioritaria, con obligación a cargo del Estado, en la infancia y la adolescencia. </w:t>
      </w:r>
    </w:p>
    <w:p w:rsidR="00923769" w:rsidRDefault="00450620">
      <w:pPr>
        <w:ind w:left="720"/>
        <w:jc w:val="both"/>
        <w:rPr>
          <w:rFonts w:ascii="Bookman Old Style" w:eastAsia="Bookman Old Style" w:hAnsi="Bookman Old Style" w:cs="Bookman Old Style"/>
        </w:rPr>
      </w:pPr>
      <w:r>
        <w:rPr>
          <w:rFonts w:ascii="Bookman Old Style" w:eastAsia="Bookman Old Style" w:hAnsi="Bookman Old Style" w:cs="Bookman Old Style"/>
          <w:b/>
        </w:rPr>
        <w:t>6. Divulgación cultural.</w:t>
      </w:r>
      <w:r>
        <w:rPr>
          <w:rFonts w:ascii="Bookman Old Style" w:eastAsia="Bookman Old Style" w:hAnsi="Bookman Old Style" w:cs="Bookman Old Style"/>
        </w:rPr>
        <w:t xml:space="preserve"> Son todas las acciones de promoción de la oferta artística y cultural a través de cualqui</w:t>
      </w:r>
      <w:r>
        <w:rPr>
          <w:rFonts w:ascii="Bookman Old Style" w:eastAsia="Bookman Old Style" w:hAnsi="Bookman Old Style" w:cs="Bookman Old Style"/>
        </w:rPr>
        <w:t xml:space="preserve">er medio, canal o plataforma de comunicación existente o por existir. </w:t>
      </w:r>
    </w:p>
    <w:p w:rsidR="00923769" w:rsidRDefault="00450620">
      <w:pPr>
        <w:ind w:left="720"/>
        <w:jc w:val="both"/>
        <w:rPr>
          <w:rFonts w:ascii="Bookman Old Style" w:eastAsia="Bookman Old Style" w:hAnsi="Bookman Old Style" w:cs="Bookman Old Style"/>
          <w:b/>
        </w:rPr>
      </w:pPr>
      <w:r>
        <w:rPr>
          <w:rFonts w:ascii="Bookman Old Style" w:eastAsia="Bookman Old Style" w:hAnsi="Bookman Old Style" w:cs="Bookman Old Style"/>
          <w:b/>
        </w:rPr>
        <w:t>7. Espacios no convencionales</w:t>
      </w:r>
      <w:r>
        <w:rPr>
          <w:rFonts w:ascii="Bookman Old Style" w:eastAsia="Bookman Old Style" w:hAnsi="Bookman Old Style" w:cs="Bookman Old Style"/>
        </w:rPr>
        <w:t xml:space="preserve">. Espacios que descentralizan las prácticas de las artes escénicas y contribuyen a la pluralidad de las artes y la cultura, a través de una infraestructura </w:t>
      </w:r>
      <w:r>
        <w:rPr>
          <w:rFonts w:ascii="Bookman Old Style" w:eastAsia="Bookman Old Style" w:hAnsi="Bookman Old Style" w:cs="Bookman Old Style"/>
        </w:rPr>
        <w:t>que no plantea una clara distinción entre el lugar dispuesto para el público y el escenario, como ocurre en los espacios tradicionales que cuentan con proscenio y tras escena. Estos equipamientos se caracterizan por permitir modificaciones espaciales en la</w:t>
      </w:r>
      <w:r>
        <w:rPr>
          <w:rFonts w:ascii="Bookman Old Style" w:eastAsia="Bookman Old Style" w:hAnsi="Bookman Old Style" w:cs="Bookman Old Style"/>
        </w:rPr>
        <w:t xml:space="preserve"> sala, mediante </w:t>
      </w:r>
      <w:r>
        <w:rPr>
          <w:rFonts w:ascii="Bookman Old Style" w:eastAsia="Bookman Old Style" w:hAnsi="Bookman Old Style" w:cs="Bookman Old Style"/>
        </w:rPr>
        <w:lastRenderedPageBreak/>
        <w:t xml:space="preserve">infraestructura y tecnología específica para habilitar diferentes acomodaciones del público, itinerar en la sala y permitir la presentación de diversos lenguajes, formatos y géneros de las artes escénicas. </w:t>
      </w:r>
      <w:r>
        <w:rPr>
          <w:rFonts w:ascii="Bookman Old Style" w:eastAsia="Bookman Old Style" w:hAnsi="Bookman Old Style" w:cs="Bookman Old Style"/>
        </w:rPr>
        <w:br/>
      </w:r>
    </w:p>
    <w:p w:rsidR="00923769" w:rsidRDefault="00450620">
      <w:pPr>
        <w:jc w:val="both"/>
        <w:rPr>
          <w:rFonts w:ascii="Bookman Old Style" w:eastAsia="Bookman Old Style" w:hAnsi="Bookman Old Style" w:cs="Bookman Old Style"/>
          <w:b/>
        </w:rPr>
      </w:pPr>
      <w:r>
        <w:rPr>
          <w:rFonts w:ascii="Bookman Old Style" w:eastAsia="Bookman Old Style" w:hAnsi="Bookman Old Style" w:cs="Bookman Old Style"/>
          <w:b/>
        </w:rPr>
        <w:t>Artículo 4°. Política de Canasta</w:t>
      </w:r>
      <w:r>
        <w:rPr>
          <w:rFonts w:ascii="Bookman Old Style" w:eastAsia="Bookman Old Style" w:hAnsi="Bookman Old Style" w:cs="Bookman Old Style"/>
          <w:b/>
        </w:rPr>
        <w:t xml:space="preserve"> Básica Cultural. </w:t>
      </w:r>
      <w:r>
        <w:rPr>
          <w:rFonts w:ascii="Bookman Old Style" w:eastAsia="Bookman Old Style" w:hAnsi="Bookman Old Style" w:cs="Bookman Old Style"/>
        </w:rPr>
        <w:t>La Política de Canasta Básica Cultural, a cargo del Ministerio de las Culturas, las Artes y los Saberes, tendrá como objetivo principal incentivar la participación, reconocimiento y reivindicación de identidades culturales, el fortalecimi</w:t>
      </w:r>
      <w:r>
        <w:rPr>
          <w:rFonts w:ascii="Bookman Old Style" w:eastAsia="Bookman Old Style" w:hAnsi="Bookman Old Style" w:cs="Bookman Old Style"/>
        </w:rPr>
        <w:t>ento de la educación cultural y cierre de brechas, la promoción de la oferta y demanda cultural y acceso a bienes y servicios culturales, la preservación de tradiciones y patrimonio cultural, el emprendimiento y generación de empleos territoriales en activ</w:t>
      </w:r>
      <w:r>
        <w:rPr>
          <w:rFonts w:ascii="Bookman Old Style" w:eastAsia="Bookman Old Style" w:hAnsi="Bookman Old Style" w:cs="Bookman Old Style"/>
        </w:rPr>
        <w:t>idades culturales sostenibles, y la gestión del conocimiento, monitoreo y evaluación.</w:t>
      </w:r>
      <w:r>
        <w:rPr>
          <w:rFonts w:ascii="Bookman Old Style" w:eastAsia="Bookman Old Style" w:hAnsi="Bookman Old Style" w:cs="Bookman Old Style"/>
          <w:b/>
        </w:rPr>
        <w:t xml:space="preserve"> </w:t>
      </w:r>
    </w:p>
    <w:p w:rsidR="00923769" w:rsidRDefault="00923769">
      <w:pPr>
        <w:jc w:val="both"/>
        <w:rPr>
          <w:rFonts w:ascii="Bookman Old Style" w:eastAsia="Bookman Old Style" w:hAnsi="Bookman Old Style" w:cs="Bookman Old Style"/>
          <w:b/>
        </w:rPr>
      </w:pPr>
    </w:p>
    <w:p w:rsidR="00923769" w:rsidRDefault="00450620">
      <w:pPr>
        <w:jc w:val="both"/>
        <w:rPr>
          <w:rFonts w:ascii="Bookman Old Style" w:eastAsia="Bookman Old Style" w:hAnsi="Bookman Old Style" w:cs="Bookman Old Style"/>
        </w:rPr>
      </w:pPr>
      <w:r>
        <w:rPr>
          <w:rFonts w:ascii="Bookman Old Style" w:eastAsia="Bookman Old Style" w:hAnsi="Bookman Old Style" w:cs="Bookman Old Style"/>
        </w:rPr>
        <w:t xml:space="preserve">La Política de Canasta Básica de Cultura está orientada a: </w:t>
      </w:r>
    </w:p>
    <w:p w:rsidR="00923769" w:rsidRDefault="00450620">
      <w:pPr>
        <w:numPr>
          <w:ilvl w:val="0"/>
          <w:numId w:val="1"/>
        </w:numPr>
        <w:jc w:val="both"/>
        <w:rPr>
          <w:rFonts w:ascii="Bookman Old Style" w:eastAsia="Bookman Old Style" w:hAnsi="Bookman Old Style" w:cs="Bookman Old Style"/>
        </w:rPr>
      </w:pPr>
      <w:r>
        <w:rPr>
          <w:rFonts w:ascii="Bookman Old Style" w:eastAsia="Bookman Old Style" w:hAnsi="Bookman Old Style" w:cs="Bookman Old Style"/>
        </w:rPr>
        <w:t>Mejorar las condiciones de toda la población, con enfoque diferencial, de género y étnico, e inclusiva, para</w:t>
      </w:r>
      <w:r>
        <w:rPr>
          <w:rFonts w:ascii="Bookman Old Style" w:eastAsia="Bookman Old Style" w:hAnsi="Bookman Old Style" w:cs="Bookman Old Style"/>
        </w:rPr>
        <w:t xml:space="preserve"> su acceso a bienes, servicios y espacios culturales. </w:t>
      </w:r>
    </w:p>
    <w:p w:rsidR="00923769" w:rsidRDefault="00450620">
      <w:pPr>
        <w:numPr>
          <w:ilvl w:val="0"/>
          <w:numId w:val="1"/>
        </w:numPr>
        <w:jc w:val="both"/>
        <w:rPr>
          <w:rFonts w:ascii="Bookman Old Style" w:eastAsia="Bookman Old Style" w:hAnsi="Bookman Old Style" w:cs="Bookman Old Style"/>
        </w:rPr>
      </w:pPr>
      <w:r>
        <w:rPr>
          <w:rFonts w:ascii="Bookman Old Style" w:eastAsia="Bookman Old Style" w:hAnsi="Bookman Old Style" w:cs="Bookman Old Style"/>
        </w:rPr>
        <w:t xml:space="preserve">Educar y sensibilizar a la población para la comprensión y disfrute de las expresiones artísticas y culturales. </w:t>
      </w:r>
    </w:p>
    <w:p w:rsidR="00923769" w:rsidRDefault="00450620">
      <w:pPr>
        <w:numPr>
          <w:ilvl w:val="0"/>
          <w:numId w:val="1"/>
        </w:numPr>
        <w:jc w:val="both"/>
        <w:rPr>
          <w:rFonts w:ascii="Bookman Old Style" w:eastAsia="Bookman Old Style" w:hAnsi="Bookman Old Style" w:cs="Bookman Old Style"/>
        </w:rPr>
      </w:pPr>
      <w:r>
        <w:rPr>
          <w:rFonts w:ascii="Bookman Old Style" w:eastAsia="Bookman Old Style" w:hAnsi="Bookman Old Style" w:cs="Bookman Old Style"/>
        </w:rPr>
        <w:t xml:space="preserve">Dinamizar y fomentar los consumos culturales locales a través de la gestión de audiencias. </w:t>
      </w:r>
    </w:p>
    <w:p w:rsidR="00923769" w:rsidRDefault="00450620">
      <w:pPr>
        <w:numPr>
          <w:ilvl w:val="0"/>
          <w:numId w:val="1"/>
        </w:numPr>
        <w:jc w:val="both"/>
        <w:rPr>
          <w:rFonts w:ascii="Bookman Old Style" w:eastAsia="Bookman Old Style" w:hAnsi="Bookman Old Style" w:cs="Bookman Old Style"/>
        </w:rPr>
      </w:pPr>
      <w:r>
        <w:rPr>
          <w:rFonts w:ascii="Bookman Old Style" w:eastAsia="Bookman Old Style" w:hAnsi="Bookman Old Style" w:cs="Bookman Old Style"/>
        </w:rPr>
        <w:t xml:space="preserve">Promover las expresiones artísticas y culturales locales. </w:t>
      </w:r>
    </w:p>
    <w:p w:rsidR="00923769" w:rsidRDefault="00450620">
      <w:pPr>
        <w:numPr>
          <w:ilvl w:val="0"/>
          <w:numId w:val="1"/>
        </w:numPr>
        <w:jc w:val="both"/>
        <w:rPr>
          <w:rFonts w:ascii="Bookman Old Style" w:eastAsia="Bookman Old Style" w:hAnsi="Bookman Old Style" w:cs="Bookman Old Style"/>
        </w:rPr>
      </w:pPr>
      <w:r>
        <w:rPr>
          <w:rFonts w:ascii="Bookman Old Style" w:eastAsia="Bookman Old Style" w:hAnsi="Bookman Old Style" w:cs="Bookman Old Style"/>
        </w:rPr>
        <w:t>Divulgar y comunicar de manera asertiva las ofertas artísticas y culturales a nivel local, regional y nac</w:t>
      </w:r>
      <w:r>
        <w:rPr>
          <w:rFonts w:ascii="Bookman Old Style" w:eastAsia="Bookman Old Style" w:hAnsi="Bookman Old Style" w:cs="Bookman Old Style"/>
        </w:rPr>
        <w:t xml:space="preserve">ional. </w:t>
      </w:r>
    </w:p>
    <w:p w:rsidR="00923769" w:rsidRDefault="00450620">
      <w:pPr>
        <w:numPr>
          <w:ilvl w:val="0"/>
          <w:numId w:val="1"/>
        </w:numPr>
        <w:jc w:val="both"/>
        <w:rPr>
          <w:rFonts w:ascii="Bookman Old Style" w:eastAsia="Bookman Old Style" w:hAnsi="Bookman Old Style" w:cs="Bookman Old Style"/>
        </w:rPr>
      </w:pPr>
      <w:r>
        <w:rPr>
          <w:rFonts w:ascii="Bookman Old Style" w:eastAsia="Bookman Old Style" w:hAnsi="Bookman Old Style" w:cs="Bookman Old Style"/>
        </w:rPr>
        <w:t xml:space="preserve">Descentralizar la oferta cultural a aquellas poblaciones de los municipios que no cuenten con una o que ésta sea carente, en especial en los municipios de alta ruralidad y zonas dispersas. </w:t>
      </w:r>
      <w:r>
        <w:rPr>
          <w:rFonts w:ascii="Bookman Old Style" w:eastAsia="Bookman Old Style" w:hAnsi="Bookman Old Style" w:cs="Bookman Old Style"/>
        </w:rPr>
        <w:br/>
      </w:r>
    </w:p>
    <w:p w:rsidR="00923769" w:rsidRDefault="00450620">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5° Enfoques. </w:t>
      </w:r>
      <w:r>
        <w:rPr>
          <w:rFonts w:ascii="Bookman Old Style" w:eastAsia="Bookman Old Style" w:hAnsi="Bookman Old Style" w:cs="Bookman Old Style"/>
        </w:rPr>
        <w:t>La política de canasta básica cultu</w:t>
      </w:r>
      <w:r>
        <w:rPr>
          <w:rFonts w:ascii="Bookman Old Style" w:eastAsia="Bookman Old Style" w:hAnsi="Bookman Old Style" w:cs="Bookman Old Style"/>
        </w:rPr>
        <w:t xml:space="preserve">ral, las estrategias, programas y proyectos derivados, se deben diseñar teniendo en cuenta los siguientes enfoques transversales: </w:t>
      </w:r>
    </w:p>
    <w:p w:rsidR="00923769" w:rsidRDefault="00450620">
      <w:pPr>
        <w:numPr>
          <w:ilvl w:val="0"/>
          <w:numId w:val="12"/>
        </w:numPr>
        <w:jc w:val="both"/>
        <w:rPr>
          <w:rFonts w:ascii="Bookman Old Style" w:eastAsia="Bookman Old Style" w:hAnsi="Bookman Old Style" w:cs="Bookman Old Style"/>
        </w:rPr>
      </w:pPr>
      <w:r>
        <w:rPr>
          <w:rFonts w:ascii="Bookman Old Style" w:eastAsia="Bookman Old Style" w:hAnsi="Bookman Old Style" w:cs="Bookman Old Style"/>
          <w:b/>
        </w:rPr>
        <w:t>Enfoque de derechos</w:t>
      </w:r>
      <w:r>
        <w:rPr>
          <w:rFonts w:ascii="Bookman Old Style" w:eastAsia="Bookman Old Style" w:hAnsi="Bookman Old Style" w:cs="Bookman Old Style"/>
        </w:rPr>
        <w:t xml:space="preserve">: El primer paso es reconocer que la población en general es poseedora de derechos que obligan al Estado. </w:t>
      </w:r>
      <w:r>
        <w:rPr>
          <w:rFonts w:ascii="Bookman Old Style" w:eastAsia="Bookman Old Style" w:hAnsi="Bookman Old Style" w:cs="Bookman Old Style"/>
        </w:rPr>
        <w:t>Lo que se busca a partir de este concepto es cambiar la lógica, para que el punto de partida no sea la existencia de personas con necesidades que deben ser asistidas, sino que son sujetos con derechos a determinadas prestaciones y conductas. Los derechos d</w:t>
      </w:r>
      <w:r>
        <w:rPr>
          <w:rFonts w:ascii="Bookman Old Style" w:eastAsia="Bookman Old Style" w:hAnsi="Bookman Old Style" w:cs="Bookman Old Style"/>
        </w:rPr>
        <w:t>emandan obligaciones y requieren mecanismos para darles cumplimiento.</w:t>
      </w:r>
    </w:p>
    <w:p w:rsidR="00923769" w:rsidRDefault="00450620">
      <w:pPr>
        <w:numPr>
          <w:ilvl w:val="0"/>
          <w:numId w:val="12"/>
        </w:numPr>
        <w:jc w:val="both"/>
        <w:rPr>
          <w:rFonts w:ascii="Bookman Old Style" w:eastAsia="Bookman Old Style" w:hAnsi="Bookman Old Style" w:cs="Bookman Old Style"/>
        </w:rPr>
      </w:pPr>
      <w:r>
        <w:rPr>
          <w:rFonts w:ascii="Bookman Old Style" w:eastAsia="Bookman Old Style" w:hAnsi="Bookman Old Style" w:cs="Bookman Old Style"/>
          <w:b/>
        </w:rPr>
        <w:t xml:space="preserve">Enfoque de derechos culturales: </w:t>
      </w:r>
      <w:r>
        <w:rPr>
          <w:rFonts w:ascii="Bookman Old Style" w:eastAsia="Bookman Old Style" w:hAnsi="Bookman Old Style" w:cs="Bookman Old Style"/>
        </w:rPr>
        <w:t>Son derechos humanos para asegurar el disfrute de la cultura y de sus componentes en condiciones de igualdad, dignidad humana y no discriminación. Son der</w:t>
      </w:r>
      <w:r>
        <w:rPr>
          <w:rFonts w:ascii="Bookman Old Style" w:eastAsia="Bookman Old Style" w:hAnsi="Bookman Old Style" w:cs="Bookman Old Style"/>
        </w:rPr>
        <w:t xml:space="preserve">echos relativos a la lengua; la producción cultural y artística; la participación en la cultura; el patrimonio cultural; los derechos de autor; las minorías y el acceso a la cultura, entre otros. </w:t>
      </w:r>
    </w:p>
    <w:p w:rsidR="00923769" w:rsidRDefault="00450620">
      <w:pPr>
        <w:numPr>
          <w:ilvl w:val="0"/>
          <w:numId w:val="10"/>
        </w:numPr>
        <w:jc w:val="both"/>
        <w:rPr>
          <w:rFonts w:ascii="Bookman Old Style" w:eastAsia="Bookman Old Style" w:hAnsi="Bookman Old Style" w:cs="Bookman Old Style"/>
        </w:rPr>
      </w:pPr>
      <w:r>
        <w:rPr>
          <w:rFonts w:ascii="Bookman Old Style" w:eastAsia="Bookman Old Style" w:hAnsi="Bookman Old Style" w:cs="Bookman Old Style"/>
          <w:b/>
        </w:rPr>
        <w:t>Enfoque intersectorial:</w:t>
      </w:r>
      <w:r>
        <w:rPr>
          <w:rFonts w:ascii="Bookman Old Style" w:eastAsia="Bookman Old Style" w:hAnsi="Bookman Old Style" w:cs="Bookman Old Style"/>
        </w:rPr>
        <w:t xml:space="preserve"> El enfoque de intersectorialidad co</w:t>
      </w:r>
      <w:r>
        <w:rPr>
          <w:rFonts w:ascii="Bookman Old Style" w:eastAsia="Bookman Old Style" w:hAnsi="Bookman Old Style" w:cs="Bookman Old Style"/>
        </w:rPr>
        <w:t xml:space="preserve">mo una función inherente al quehacer del Estado para desarrollar sus competencias y velar de manera integral por la garantía de los derechos culturales, determina que </w:t>
      </w:r>
      <w:r>
        <w:rPr>
          <w:rFonts w:ascii="Bookman Old Style" w:eastAsia="Bookman Old Style" w:hAnsi="Bookman Old Style" w:cs="Bookman Old Style"/>
        </w:rPr>
        <w:lastRenderedPageBreak/>
        <w:t>se deben implementar acciones conjuntas con otros sectores como educación, trabajo, tecno</w:t>
      </w:r>
      <w:r>
        <w:rPr>
          <w:rFonts w:ascii="Bookman Old Style" w:eastAsia="Bookman Old Style" w:hAnsi="Bookman Old Style" w:cs="Bookman Old Style"/>
        </w:rPr>
        <w:t>logías de la información y la comunicación, salud, vivienda y comercio, entre otras. En este sentido, se propende al reconocimiento de los procesos culturales como un factor de conjunción con otros sectores y la contribución de estos a propósitos colectivo</w:t>
      </w:r>
      <w:r>
        <w:rPr>
          <w:rFonts w:ascii="Bookman Old Style" w:eastAsia="Bookman Old Style" w:hAnsi="Bookman Old Style" w:cs="Bookman Old Style"/>
        </w:rPr>
        <w:t xml:space="preserve">s. </w:t>
      </w:r>
    </w:p>
    <w:p w:rsidR="00923769" w:rsidRDefault="00450620">
      <w:pPr>
        <w:numPr>
          <w:ilvl w:val="0"/>
          <w:numId w:val="11"/>
        </w:numPr>
        <w:jc w:val="both"/>
        <w:rPr>
          <w:rFonts w:ascii="Bookman Old Style" w:eastAsia="Bookman Old Style" w:hAnsi="Bookman Old Style" w:cs="Bookman Old Style"/>
        </w:rPr>
      </w:pPr>
      <w:r>
        <w:rPr>
          <w:rFonts w:ascii="Bookman Old Style" w:eastAsia="Bookman Old Style" w:hAnsi="Bookman Old Style" w:cs="Bookman Old Style"/>
          <w:b/>
        </w:rPr>
        <w:t>Enfoque diferencial:</w:t>
      </w:r>
      <w:r>
        <w:rPr>
          <w:rFonts w:ascii="Bookman Old Style" w:eastAsia="Bookman Old Style" w:hAnsi="Bookman Old Style" w:cs="Bookman Old Style"/>
        </w:rPr>
        <w:t xml:space="preserve"> El enfoque diferencial es un marco de referencia que parte de entender, reconocer y valorar la pluralidad de expresiones e identidades culturales y étnicas propias de la diversidad inherente a nuestra sociedad. La implementación de</w:t>
      </w:r>
      <w:r>
        <w:rPr>
          <w:rFonts w:ascii="Bookman Old Style" w:eastAsia="Bookman Old Style" w:hAnsi="Bookman Old Style" w:cs="Bookman Old Style"/>
        </w:rPr>
        <w:t xml:space="preserve"> este enfoque busca responder de manera adecuada, diferenciada y pertinente a las necesidades y problemáticas de la población, mediante la implementación de acciones afirmativas a favor de las comunidades indígenas, negras, afrocolombianas, raizales, palen</w:t>
      </w:r>
      <w:r>
        <w:rPr>
          <w:rFonts w:ascii="Bookman Old Style" w:eastAsia="Bookman Old Style" w:hAnsi="Bookman Old Style" w:cs="Bookman Old Style"/>
        </w:rPr>
        <w:t>queras y Rrom. Este enfoque se garantizará, entre otros mecanismos, a través de la concertación y el cumplimiento del Convenio 169 de la OIT frente a pueblos indígenas y tribales, y de la legislación vigente relacionada con pueblos negros, afrodescendiente</w:t>
      </w:r>
      <w:r>
        <w:rPr>
          <w:rFonts w:ascii="Bookman Old Style" w:eastAsia="Bookman Old Style" w:hAnsi="Bookman Old Style" w:cs="Bookman Old Style"/>
        </w:rPr>
        <w:t xml:space="preserve">s, raizales y palenqueros, Rrom, y lo referente a campesinos y campesinas y otros habitantes rurales según la Declaración de las Naciones Unidas sobre los Derechos de los Campesinos y de Otras Personas que Trabajan en las Zonas Rurales y el artículo 64 de </w:t>
      </w:r>
      <w:r>
        <w:rPr>
          <w:rFonts w:ascii="Bookman Old Style" w:eastAsia="Bookman Old Style" w:hAnsi="Bookman Old Style" w:cs="Bookman Old Style"/>
        </w:rPr>
        <w:t xml:space="preserve">la Constitución Política. </w:t>
      </w:r>
    </w:p>
    <w:p w:rsidR="00923769" w:rsidRDefault="00450620">
      <w:pPr>
        <w:numPr>
          <w:ilvl w:val="0"/>
          <w:numId w:val="4"/>
        </w:numPr>
        <w:jc w:val="both"/>
        <w:rPr>
          <w:rFonts w:ascii="Bookman Old Style" w:eastAsia="Bookman Old Style" w:hAnsi="Bookman Old Style" w:cs="Bookman Old Style"/>
        </w:rPr>
      </w:pPr>
      <w:r>
        <w:rPr>
          <w:rFonts w:ascii="Bookman Old Style" w:eastAsia="Bookman Old Style" w:hAnsi="Bookman Old Style" w:cs="Bookman Old Style"/>
          <w:b/>
        </w:rPr>
        <w:t>Enfoque territorial</w:t>
      </w:r>
      <w:r>
        <w:rPr>
          <w:rFonts w:ascii="Bookman Old Style" w:eastAsia="Bookman Old Style" w:hAnsi="Bookman Old Style" w:cs="Bookman Old Style"/>
        </w:rPr>
        <w:t>: Este enfoque busca visibilizar los territorios y sus particularidades como espacios dinámicos de relaciones socioculturales, políticas, económicas y ambientales, donde interactúan comunidades, pueblos, organi</w:t>
      </w:r>
      <w:r>
        <w:rPr>
          <w:rFonts w:ascii="Bookman Old Style" w:eastAsia="Bookman Old Style" w:hAnsi="Bookman Old Style" w:cs="Bookman Old Style"/>
        </w:rPr>
        <w:t xml:space="preserve">zaciones e individuos. A partir de ese reconocimiento se pretende orientar las políticas públicas culturales para que respondan de manera diferenciada y pertinente a las necesidades y condiciones de los procesos culturales. </w:t>
      </w:r>
    </w:p>
    <w:p w:rsidR="00923769" w:rsidRDefault="00450620">
      <w:pPr>
        <w:numPr>
          <w:ilvl w:val="0"/>
          <w:numId w:val="8"/>
        </w:numPr>
        <w:jc w:val="both"/>
        <w:rPr>
          <w:rFonts w:ascii="Bookman Old Style" w:eastAsia="Bookman Old Style" w:hAnsi="Bookman Old Style" w:cs="Bookman Old Style"/>
        </w:rPr>
      </w:pPr>
      <w:r>
        <w:rPr>
          <w:rFonts w:ascii="Bookman Old Style" w:eastAsia="Bookman Old Style" w:hAnsi="Bookman Old Style" w:cs="Bookman Old Style"/>
          <w:b/>
        </w:rPr>
        <w:t>Enfoque etario</w:t>
      </w:r>
      <w:r>
        <w:rPr>
          <w:rFonts w:ascii="Bookman Old Style" w:eastAsia="Bookman Old Style" w:hAnsi="Bookman Old Style" w:cs="Bookman Old Style"/>
        </w:rPr>
        <w:t>: Se refiere a la</w:t>
      </w:r>
      <w:r>
        <w:rPr>
          <w:rFonts w:ascii="Bookman Old Style" w:eastAsia="Bookman Old Style" w:hAnsi="Bookman Old Style" w:cs="Bookman Old Style"/>
        </w:rPr>
        <w:t xml:space="preserve"> consideración de las diferentes necesidades y preferencias culturales de los distintos grupos de edad dentro de la población colombiana. </w:t>
      </w:r>
      <w:r>
        <w:rPr>
          <w:rFonts w:ascii="Bookman Old Style" w:eastAsia="Bookman Old Style" w:hAnsi="Bookman Old Style" w:cs="Bookman Old Style"/>
        </w:rPr>
        <w:br/>
      </w:r>
    </w:p>
    <w:p w:rsidR="00923769" w:rsidRDefault="00450620">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6. Instrumentos de la Canasta Básica Cultural: </w:t>
      </w:r>
      <w:r>
        <w:rPr>
          <w:rFonts w:ascii="Bookman Old Style" w:eastAsia="Bookman Old Style" w:hAnsi="Bookman Old Style" w:cs="Bookman Old Style"/>
        </w:rPr>
        <w:t>El Ministerio de las Culturas, las Artes y los Saberes, y la</w:t>
      </w:r>
      <w:r>
        <w:rPr>
          <w:rFonts w:ascii="Bookman Old Style" w:eastAsia="Bookman Old Style" w:hAnsi="Bookman Old Style" w:cs="Bookman Old Style"/>
        </w:rPr>
        <w:t>s entidades territoriales encargadas de la implementación de la política cultural, crearán e implementarán instrumentos innovadores de acceso a la cultura, que harán parte de la Canasta Básica Cultural y desarrollarán pilotos dirigidos a las personas con n</w:t>
      </w:r>
      <w:r>
        <w:rPr>
          <w:rFonts w:ascii="Bookman Old Style" w:eastAsia="Bookman Old Style" w:hAnsi="Bookman Old Style" w:cs="Bookman Old Style"/>
        </w:rPr>
        <w:t>acionalidad colombiana habitantes del territorio nacional, como incentivos de acceso a la oferta cultural; que serán definidos, dentro del proceso de reglamentación de la presente ley e implementados gradualmente, según la disponibilidad presupuestal dentr</w:t>
      </w:r>
      <w:r>
        <w:rPr>
          <w:rFonts w:ascii="Bookman Old Style" w:eastAsia="Bookman Old Style" w:hAnsi="Bookman Old Style" w:cs="Bookman Old Style"/>
        </w:rPr>
        <w:t xml:space="preserve">o del marco fiscal de mediano plazo y gestión de cofinanciación complementaria de otras fuentes como la cooperación internacional, la inversión social privada nacional e internacional, la filantropía, las donaciones y los beneficios tributarios en materia </w:t>
      </w:r>
      <w:r>
        <w:rPr>
          <w:rFonts w:ascii="Bookman Old Style" w:eastAsia="Bookman Old Style" w:hAnsi="Bookman Old Style" w:cs="Bookman Old Style"/>
        </w:rPr>
        <w:t xml:space="preserve">de cultura. </w:t>
      </w:r>
    </w:p>
    <w:p w:rsidR="00923769" w:rsidRDefault="00923769">
      <w:pPr>
        <w:jc w:val="both"/>
        <w:rPr>
          <w:rFonts w:ascii="Bookman Old Style" w:eastAsia="Bookman Old Style" w:hAnsi="Bookman Old Style" w:cs="Bookman Old Style"/>
        </w:rPr>
      </w:pPr>
    </w:p>
    <w:p w:rsidR="00923769" w:rsidRDefault="00450620">
      <w:pPr>
        <w:jc w:val="both"/>
        <w:rPr>
          <w:rFonts w:ascii="Bookman Old Style" w:eastAsia="Bookman Old Style" w:hAnsi="Bookman Old Style" w:cs="Bookman Old Style"/>
        </w:rPr>
      </w:pPr>
      <w:r>
        <w:rPr>
          <w:rFonts w:ascii="Bookman Old Style" w:eastAsia="Bookman Old Style" w:hAnsi="Bookman Old Style" w:cs="Bookman Old Style"/>
          <w:b/>
        </w:rPr>
        <w:t>Parágrafo 1°</w:t>
      </w:r>
      <w:r>
        <w:rPr>
          <w:rFonts w:ascii="Bookman Old Style" w:eastAsia="Bookman Old Style" w:hAnsi="Bookman Old Style" w:cs="Bookman Old Style"/>
        </w:rPr>
        <w:t>. El Gobierno nacional reglamentará los mecanismos incluidos en la canasta básica cultural, los requisitos de los oferentes y las formas de divulgación al público que permitan el desarrollo de los programas, estrategias y proyecto</w:t>
      </w:r>
      <w:r>
        <w:rPr>
          <w:rFonts w:ascii="Bookman Old Style" w:eastAsia="Bookman Old Style" w:hAnsi="Bookman Old Style" w:cs="Bookman Old Style"/>
        </w:rPr>
        <w:t xml:space="preserve">s para garantizar el acceso a la Canasta Básica Cultural. </w:t>
      </w:r>
    </w:p>
    <w:p w:rsidR="00923769" w:rsidRDefault="00923769">
      <w:pPr>
        <w:jc w:val="both"/>
        <w:rPr>
          <w:rFonts w:ascii="Bookman Old Style" w:eastAsia="Bookman Old Style" w:hAnsi="Bookman Old Style" w:cs="Bookman Old Style"/>
        </w:rPr>
      </w:pPr>
    </w:p>
    <w:p w:rsidR="00923769" w:rsidRDefault="00450620">
      <w:pPr>
        <w:jc w:val="both"/>
        <w:rPr>
          <w:rFonts w:ascii="Bookman Old Style" w:eastAsia="Bookman Old Style" w:hAnsi="Bookman Old Style" w:cs="Bookman Old Style"/>
        </w:rPr>
      </w:pPr>
      <w:r>
        <w:rPr>
          <w:rFonts w:ascii="Bookman Old Style" w:eastAsia="Bookman Old Style" w:hAnsi="Bookman Old Style" w:cs="Bookman Old Style"/>
          <w:b/>
        </w:rPr>
        <w:t>Parágrafo 2°</w:t>
      </w:r>
      <w:r>
        <w:rPr>
          <w:rFonts w:ascii="Bookman Old Style" w:eastAsia="Bookman Old Style" w:hAnsi="Bookman Old Style" w:cs="Bookman Old Style"/>
        </w:rPr>
        <w:t>. El Gobierno Nacional a través del Ministerio de las Culturas, las Artes y los Saberes, impulsará una estrategia de coordinación, articulación, gestión de recursos orientada a resulta</w:t>
      </w:r>
      <w:r>
        <w:rPr>
          <w:rFonts w:ascii="Bookman Old Style" w:eastAsia="Bookman Old Style" w:hAnsi="Bookman Old Style" w:cs="Bookman Old Style"/>
        </w:rPr>
        <w:t xml:space="preserve">dos y alianzas con diferentes organizaciones, que permitan la cofinanciación de instrumentos de la Canasta Básica Cultural. </w:t>
      </w:r>
    </w:p>
    <w:p w:rsidR="00923769" w:rsidRDefault="00923769">
      <w:pPr>
        <w:jc w:val="both"/>
        <w:rPr>
          <w:rFonts w:ascii="Bookman Old Style" w:eastAsia="Bookman Old Style" w:hAnsi="Bookman Old Style" w:cs="Bookman Old Style"/>
        </w:rPr>
      </w:pPr>
    </w:p>
    <w:p w:rsidR="00923769" w:rsidRDefault="00450620">
      <w:pPr>
        <w:jc w:val="both"/>
        <w:rPr>
          <w:rFonts w:ascii="Bookman Old Style" w:eastAsia="Bookman Old Style" w:hAnsi="Bookman Old Style" w:cs="Bookman Old Style"/>
        </w:rPr>
      </w:pPr>
      <w:r>
        <w:rPr>
          <w:rFonts w:ascii="Bookman Old Style" w:eastAsia="Bookman Old Style" w:hAnsi="Bookman Old Style" w:cs="Bookman Old Style"/>
          <w:b/>
        </w:rPr>
        <w:t>Parágrafo 3°.</w:t>
      </w:r>
      <w:r>
        <w:rPr>
          <w:rFonts w:ascii="Bookman Old Style" w:eastAsia="Bookman Old Style" w:hAnsi="Bookman Old Style" w:cs="Bookman Old Style"/>
        </w:rPr>
        <w:t xml:space="preserve"> Oferentes. El Ministerio de las Culturas, las Artes y los Saberes, fortalecerá las plataformas Soy Cultura y PULEP p</w:t>
      </w:r>
      <w:r>
        <w:rPr>
          <w:rFonts w:ascii="Bookman Old Style" w:eastAsia="Bookman Old Style" w:hAnsi="Bookman Old Style" w:cs="Bookman Old Style"/>
        </w:rPr>
        <w:t xml:space="preserve">ara que las personas naturales y las jurídicas se inscriban como oferentes, asimismo establecerá los requisitos que deberán cumplir para acreditarse como tales y se articulará con las entidades territoriales y autoridades culturales para la implementación </w:t>
      </w:r>
      <w:r>
        <w:rPr>
          <w:rFonts w:ascii="Bookman Old Style" w:eastAsia="Bookman Old Style" w:hAnsi="Bookman Old Style" w:cs="Bookman Old Style"/>
        </w:rPr>
        <w:t>de programas en el marco del Sistema Nacional de Cultura a que hace referencia la ley 397 de 1997, para la implementación de la Canasta Básica Cultural. Estos oferentes deberán prestar sus servicios en el territorio colombiano y su objeto social debe estar</w:t>
      </w:r>
      <w:r>
        <w:rPr>
          <w:rFonts w:ascii="Bookman Old Style" w:eastAsia="Bookman Old Style" w:hAnsi="Bookman Old Style" w:cs="Bookman Old Style"/>
        </w:rPr>
        <w:t xml:space="preserve"> relacionado con la experiencia para la puesta a disposición de bienes, productos, servicios y espacios culturales. Serán oferentes el Ministerio de las Culturas, las Artes y los Saberes, las entidades adscritas y las entidades territoriales, entre otros. </w:t>
      </w:r>
    </w:p>
    <w:p w:rsidR="00923769" w:rsidRDefault="00923769">
      <w:pPr>
        <w:jc w:val="both"/>
        <w:rPr>
          <w:rFonts w:ascii="Bookman Old Style" w:eastAsia="Bookman Old Style" w:hAnsi="Bookman Old Style" w:cs="Bookman Old Style"/>
        </w:rPr>
      </w:pPr>
    </w:p>
    <w:p w:rsidR="00923769" w:rsidRDefault="00450620">
      <w:pPr>
        <w:jc w:val="both"/>
        <w:rPr>
          <w:rFonts w:ascii="Bookman Old Style" w:eastAsia="Bookman Old Style" w:hAnsi="Bookman Old Style" w:cs="Bookman Old Style"/>
        </w:rPr>
      </w:pPr>
      <w:r>
        <w:rPr>
          <w:rFonts w:ascii="Bookman Old Style" w:eastAsia="Bookman Old Style" w:hAnsi="Bookman Old Style" w:cs="Bookman Old Style"/>
          <w:b/>
        </w:rPr>
        <w:t>Parágrafo 4°</w:t>
      </w:r>
      <w:r>
        <w:rPr>
          <w:rFonts w:ascii="Bookman Old Style" w:eastAsia="Bookman Old Style" w:hAnsi="Bookman Old Style" w:cs="Bookman Old Style"/>
        </w:rPr>
        <w:t xml:space="preserve">. Productos, servicios y espacios. Los instrumentos de la Canasta Básica Cultural cubrirán el acceso a las ofertas culturales, los servicios ofertados por los oferentes que desarrollen su objeto social en las artes escénicas, manifestaciones </w:t>
      </w:r>
      <w:r>
        <w:rPr>
          <w:rFonts w:ascii="Bookman Old Style" w:eastAsia="Bookman Old Style" w:hAnsi="Bookman Old Style" w:cs="Bookman Old Style"/>
        </w:rPr>
        <w:t>culturales, artes audiovisuales, productos culturales en soporte físico, y consumo digital o en línea. Quedan excluidos de los instrumentos de acceso cultural los productos de papelería, equipos, software, hardware, material artístico, instrumentos musical</w:t>
      </w:r>
      <w:r>
        <w:rPr>
          <w:rFonts w:ascii="Bookman Old Style" w:eastAsia="Bookman Old Style" w:hAnsi="Bookman Old Style" w:cs="Bookman Old Style"/>
        </w:rPr>
        <w:t xml:space="preserve">es, espectáculos deportivos y todos aquellos que conlleven maltrato animal, moda y gastronomía. Se restringirá el acceso, visualización y consulta de material con contenido pornográfico en cualquier edad. </w:t>
      </w:r>
    </w:p>
    <w:p w:rsidR="00923769" w:rsidRDefault="00923769">
      <w:pPr>
        <w:jc w:val="both"/>
        <w:rPr>
          <w:rFonts w:ascii="Bookman Old Style" w:eastAsia="Bookman Old Style" w:hAnsi="Bookman Old Style" w:cs="Bookman Old Style"/>
        </w:rPr>
      </w:pPr>
    </w:p>
    <w:p w:rsidR="00923769" w:rsidRDefault="00450620">
      <w:pPr>
        <w:jc w:val="both"/>
        <w:rPr>
          <w:rFonts w:ascii="Bookman Old Style" w:eastAsia="Bookman Old Style" w:hAnsi="Bookman Old Style" w:cs="Bookman Old Style"/>
        </w:rPr>
      </w:pPr>
      <w:r>
        <w:rPr>
          <w:rFonts w:ascii="Bookman Old Style" w:eastAsia="Bookman Old Style" w:hAnsi="Bookman Old Style" w:cs="Bookman Old Style"/>
          <w:b/>
        </w:rPr>
        <w:t>Parágrafo 5°</w:t>
      </w:r>
      <w:r>
        <w:rPr>
          <w:rFonts w:ascii="Bookman Old Style" w:eastAsia="Bookman Old Style" w:hAnsi="Bookman Old Style" w:cs="Bookman Old Style"/>
        </w:rPr>
        <w:t>. El Ministerio de las Culturas, Arte</w:t>
      </w:r>
      <w:r>
        <w:rPr>
          <w:rFonts w:ascii="Bookman Old Style" w:eastAsia="Bookman Old Style" w:hAnsi="Bookman Old Style" w:cs="Bookman Old Style"/>
        </w:rPr>
        <w:t>s y los Saberes, el Ministerio de Trabajo, el Ministerio de las Tecnologías de la Información y de las Comunicaciones, el Ministerio de Comercio y Turismo y el Departamento Administrativo Nacional de Estadística, en coordinación con las entidades territori</w:t>
      </w:r>
      <w:r>
        <w:rPr>
          <w:rFonts w:ascii="Bookman Old Style" w:eastAsia="Bookman Old Style" w:hAnsi="Bookman Old Style" w:cs="Bookman Old Style"/>
        </w:rPr>
        <w:t>ales implementarán estrategias tendientes a establecer las siguientes medidas para brindar facilidades a los actores culturales:</w:t>
      </w:r>
    </w:p>
    <w:p w:rsidR="00923769" w:rsidRDefault="00450620">
      <w:pPr>
        <w:numPr>
          <w:ilvl w:val="0"/>
          <w:numId w:val="5"/>
        </w:numPr>
        <w:jc w:val="both"/>
        <w:rPr>
          <w:rFonts w:ascii="Bookman Old Style" w:eastAsia="Bookman Old Style" w:hAnsi="Bookman Old Style" w:cs="Bookman Old Style"/>
        </w:rPr>
      </w:pPr>
      <w:r>
        <w:rPr>
          <w:rFonts w:ascii="Bookman Old Style" w:eastAsia="Bookman Old Style" w:hAnsi="Bookman Old Style" w:cs="Bookman Old Style"/>
        </w:rPr>
        <w:t>Realizar una caracterización detallada de todas las expresiones culturales presentes en el país, incluyendo manifestaciones artísticas, tradiciones populares, costumbres regionales y prácticas informales.</w:t>
      </w:r>
    </w:p>
    <w:p w:rsidR="00923769" w:rsidRDefault="00450620">
      <w:pPr>
        <w:numPr>
          <w:ilvl w:val="0"/>
          <w:numId w:val="5"/>
        </w:numPr>
        <w:jc w:val="both"/>
        <w:rPr>
          <w:rFonts w:ascii="Bookman Old Style" w:eastAsia="Bookman Old Style" w:hAnsi="Bookman Old Style" w:cs="Bookman Old Style"/>
        </w:rPr>
      </w:pPr>
      <w:r>
        <w:rPr>
          <w:rFonts w:ascii="Bookman Old Style" w:eastAsia="Bookman Old Style" w:hAnsi="Bookman Old Style" w:cs="Bookman Old Style"/>
        </w:rPr>
        <w:t>Diseñar una ruta específica para la formalización l</w:t>
      </w:r>
      <w:r>
        <w:rPr>
          <w:rFonts w:ascii="Bookman Old Style" w:eastAsia="Bookman Old Style" w:hAnsi="Bookman Old Style" w:cs="Bookman Old Style"/>
        </w:rPr>
        <w:t>aboral de las expresiones culturales informales.  Esta ruta facilitará el acceso a los derechos laborales que correspondan a cada actividad, garantizando un marco legal adecuado y promoviendo la estabilidad y reconocimiento de los trabajadores culturales.</w:t>
      </w:r>
    </w:p>
    <w:p w:rsidR="00923769" w:rsidRDefault="00450620">
      <w:pPr>
        <w:numPr>
          <w:ilvl w:val="0"/>
          <w:numId w:val="5"/>
        </w:numPr>
        <w:jc w:val="both"/>
        <w:rPr>
          <w:rFonts w:ascii="Bookman Old Style" w:eastAsia="Bookman Old Style" w:hAnsi="Bookman Old Style" w:cs="Bookman Old Style"/>
        </w:rPr>
      </w:pPr>
      <w:r>
        <w:rPr>
          <w:rFonts w:ascii="Bookman Old Style" w:eastAsia="Bookman Old Style" w:hAnsi="Bookman Old Style" w:cs="Bookman Old Style"/>
        </w:rPr>
        <w:t xml:space="preserve">Desarrollar estrategias digitales innovadoras.  Estas estrategias permitirán a los actores que forman parte de la Canasta Básica Cultural, promocionar y ofertar sus emprendimientos.  Estas iniciativas digitales se enfocarán en ferias, convenciones, ruedas </w:t>
      </w:r>
      <w:r>
        <w:rPr>
          <w:rFonts w:ascii="Bookman Old Style" w:eastAsia="Bookman Old Style" w:hAnsi="Bookman Old Style" w:cs="Bookman Old Style"/>
        </w:rPr>
        <w:t>de negocios, conciertos y demás eventos culturales, fortaleciendo la presencia y participación de la cultura en diversas plataformas y actividades.</w:t>
      </w:r>
    </w:p>
    <w:p w:rsidR="00923769" w:rsidRDefault="00450620">
      <w:pPr>
        <w:numPr>
          <w:ilvl w:val="0"/>
          <w:numId w:val="5"/>
        </w:numPr>
        <w:jc w:val="both"/>
        <w:rPr>
          <w:rFonts w:ascii="Bookman Old Style" w:eastAsia="Bookman Old Style" w:hAnsi="Bookman Old Style" w:cs="Bookman Old Style"/>
        </w:rPr>
      </w:pPr>
      <w:r>
        <w:rPr>
          <w:rFonts w:ascii="Bookman Old Style" w:eastAsia="Bookman Old Style" w:hAnsi="Bookman Old Style" w:cs="Bookman Old Style"/>
        </w:rPr>
        <w:lastRenderedPageBreak/>
        <w:t>Liderar una estrategia que permita impulsar la Canasta Básica Cultural de forma transversal, a través de tod</w:t>
      </w:r>
      <w:r>
        <w:rPr>
          <w:rFonts w:ascii="Bookman Old Style" w:eastAsia="Bookman Old Style" w:hAnsi="Bookman Old Style" w:cs="Bookman Old Style"/>
        </w:rPr>
        <w:t>as las entidades de carácter nacional y territorial, abarcando desde la cultura cívica, la cultura organizacional, la cultura de la legalidad, la cultura financiera, la cultura de la ética, entre otras.</w:t>
      </w:r>
      <w:r>
        <w:rPr>
          <w:rFonts w:ascii="Bookman Old Style" w:eastAsia="Bookman Old Style" w:hAnsi="Bookman Old Style" w:cs="Bookman Old Style"/>
        </w:rPr>
        <w:br/>
      </w:r>
    </w:p>
    <w:p w:rsidR="00923769" w:rsidRDefault="00450620">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7°. Formación y gestión de audiencias: </w:t>
      </w:r>
      <w:r>
        <w:rPr>
          <w:rFonts w:ascii="Bookman Old Style" w:eastAsia="Bookman Old Style" w:hAnsi="Bookman Old Style" w:cs="Bookman Old Style"/>
        </w:rPr>
        <w:t xml:space="preserve">Los </w:t>
      </w:r>
      <w:r>
        <w:rPr>
          <w:rFonts w:ascii="Bookman Old Style" w:eastAsia="Bookman Old Style" w:hAnsi="Bookman Old Style" w:cs="Bookman Old Style"/>
        </w:rPr>
        <w:t>procesos formativos y educativos promoverán la valoración, el disfrute y el aprovechamiento de los actos y expresiones creativas y culturales como parte de la identidad y la manifestación de la diversidad cultural local, regional y nacional, a través de un</w:t>
      </w:r>
      <w:r>
        <w:rPr>
          <w:rFonts w:ascii="Bookman Old Style" w:eastAsia="Bookman Old Style" w:hAnsi="Bookman Old Style" w:cs="Bookman Old Style"/>
        </w:rPr>
        <w:t xml:space="preserve"> enfoque poblacional diferenciado, con especial énfasis en primera infancia, infancia, adolescencia, estudiantes de todos los niveles educativos y formativos, y poblaciones vulnerables. Esta formación buscará impactar a públicos y audiencias nuevas y exist</w:t>
      </w:r>
      <w:r>
        <w:rPr>
          <w:rFonts w:ascii="Bookman Old Style" w:eastAsia="Bookman Old Style" w:hAnsi="Bookman Old Style" w:cs="Bookman Old Style"/>
        </w:rPr>
        <w:t xml:space="preserve">entes. </w:t>
      </w:r>
    </w:p>
    <w:p w:rsidR="00923769" w:rsidRDefault="00923769">
      <w:pPr>
        <w:jc w:val="both"/>
        <w:rPr>
          <w:rFonts w:ascii="Bookman Old Style" w:eastAsia="Bookman Old Style" w:hAnsi="Bookman Old Style" w:cs="Bookman Old Style"/>
          <w:highlight w:val="white"/>
        </w:rPr>
      </w:pPr>
    </w:p>
    <w:p w:rsidR="00923769" w:rsidRDefault="00450620">
      <w:pPr>
        <w:jc w:val="both"/>
        <w:rPr>
          <w:rFonts w:ascii="Bookman Old Style" w:eastAsia="Bookman Old Style" w:hAnsi="Bookman Old Style" w:cs="Bookman Old Style"/>
          <w:b/>
        </w:rPr>
      </w:pPr>
      <w:r>
        <w:rPr>
          <w:rFonts w:ascii="Bookman Old Style" w:eastAsia="Bookman Old Style" w:hAnsi="Bookman Old Style" w:cs="Bookman Old Style"/>
          <w:highlight w:val="white"/>
        </w:rPr>
        <w:t>Para la formación de nuevos públicos el Ministerio de las Culturas, las Artes y los Saberes, creará una oferta de contenido educativo en entornos digitales; dirigida a la primera infancia, niños, niñas, adolescentes y estudiantes de todos los niveles educa</w:t>
      </w:r>
      <w:r>
        <w:rPr>
          <w:rFonts w:ascii="Bookman Old Style" w:eastAsia="Bookman Old Style" w:hAnsi="Bookman Old Style" w:cs="Bookman Old Style"/>
          <w:highlight w:val="white"/>
        </w:rPr>
        <w:t>tivos y formativos, adultos mayores y poblaciones vulnerables; así mismo, una oferta formativa para la apreciación amplia de las artes a través del Sinefac. Esta oferta será divulgada con apoyo de RTVC sistema de medios públicos.</w:t>
      </w:r>
      <w:r>
        <w:rPr>
          <w:rFonts w:ascii="Bookman Old Style" w:eastAsia="Bookman Old Style" w:hAnsi="Bookman Old Style" w:cs="Bookman Old Style"/>
          <w:highlight w:val="white"/>
        </w:rPr>
        <w:br/>
      </w:r>
    </w:p>
    <w:p w:rsidR="00923769" w:rsidRDefault="00450620">
      <w:pPr>
        <w:jc w:val="both"/>
        <w:rPr>
          <w:rFonts w:ascii="Bookman Old Style" w:eastAsia="Bookman Old Style" w:hAnsi="Bookman Old Style" w:cs="Bookman Old Style"/>
        </w:rPr>
      </w:pPr>
      <w:r>
        <w:rPr>
          <w:rFonts w:ascii="Bookman Old Style" w:eastAsia="Bookman Old Style" w:hAnsi="Bookman Old Style" w:cs="Bookman Old Style"/>
          <w:b/>
        </w:rPr>
        <w:t>Artículo 8°. Consumo Cult</w:t>
      </w:r>
      <w:r>
        <w:rPr>
          <w:rFonts w:ascii="Bookman Old Style" w:eastAsia="Bookman Old Style" w:hAnsi="Bookman Old Style" w:cs="Bookman Old Style"/>
          <w:b/>
        </w:rPr>
        <w:t xml:space="preserve">ural Local. </w:t>
      </w:r>
      <w:r>
        <w:rPr>
          <w:rFonts w:ascii="Bookman Old Style" w:eastAsia="Bookman Old Style" w:hAnsi="Bookman Old Style" w:cs="Bookman Old Style"/>
        </w:rPr>
        <w:t>El Ministerio de las Culturas las Artes y los Saberes o quien haga sus veces, con el apoyo del Ministerio de Comercio, Industria y Turismo, creará una estrategia para fomentar el consumo cultural local, en articulación con los entes territorial</w:t>
      </w:r>
      <w:r>
        <w:rPr>
          <w:rFonts w:ascii="Bookman Old Style" w:eastAsia="Bookman Old Style" w:hAnsi="Bookman Old Style" w:cs="Bookman Old Style"/>
        </w:rPr>
        <w:t>es, las autoridades locales de cultura y agentes de la sociedad civil que se dediquen a la gestión cultural y/o promoción de las artes, las culturas y los saberes.  Se podrán aportar recursos públicos de los niveles local y regional, y recursos proveniente</w:t>
      </w:r>
      <w:r>
        <w:rPr>
          <w:rFonts w:ascii="Bookman Old Style" w:eastAsia="Bookman Old Style" w:hAnsi="Bookman Old Style" w:cs="Bookman Old Style"/>
        </w:rPr>
        <w:t>s del sector privado y de cooperación internacional, para promover portafolios, subsidios y alianzas públicas y privadas, entre otros, que generen incentivos a los públicos existentes y nuevos para acceder a productos, servicios y espacios artísticos, cult</w:t>
      </w:r>
      <w:r>
        <w:rPr>
          <w:rFonts w:ascii="Bookman Old Style" w:eastAsia="Bookman Old Style" w:hAnsi="Bookman Old Style" w:cs="Bookman Old Style"/>
        </w:rPr>
        <w:t xml:space="preserve">urales y creativos locales, regionales y nacionales de Colombia. </w:t>
      </w:r>
    </w:p>
    <w:p w:rsidR="00923769" w:rsidRDefault="00450620">
      <w:pPr>
        <w:jc w:val="both"/>
        <w:rPr>
          <w:rFonts w:ascii="Bookman Old Style" w:eastAsia="Bookman Old Style" w:hAnsi="Bookman Old Style" w:cs="Bookman Old Style"/>
          <w:b/>
        </w:rPr>
      </w:pPr>
      <w:r>
        <w:rPr>
          <w:rFonts w:ascii="Bookman Old Style" w:eastAsia="Bookman Old Style" w:hAnsi="Bookman Old Style" w:cs="Bookman Old Style"/>
          <w:b/>
        </w:rPr>
        <w:t xml:space="preserve"> </w:t>
      </w:r>
    </w:p>
    <w:p w:rsidR="00923769" w:rsidRDefault="00450620">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9°. Estrategia de Divulgación Cultural. </w:t>
      </w:r>
      <w:r>
        <w:rPr>
          <w:rFonts w:ascii="Bookman Old Style" w:eastAsia="Bookman Old Style" w:hAnsi="Bookman Old Style" w:cs="Bookman Old Style"/>
        </w:rPr>
        <w:t>Créese una estrategia para fomentar las capacidades de difusión de las redes y espacios culturales locales, regionales y nacionales como bi</w:t>
      </w:r>
      <w:r>
        <w:rPr>
          <w:rFonts w:ascii="Bookman Old Style" w:eastAsia="Bookman Old Style" w:hAnsi="Bookman Old Style" w:cs="Bookman Old Style"/>
        </w:rPr>
        <w:t xml:space="preserve">bliotecas, casas culturales, museos, galerías de arte y salas de exposición, centros históricos o de memoria histórica, archivos, instituciones educativas, bienes de interés cultural, entre otros, facilitando el ejercicio y acceso a las ofertas culturales </w:t>
      </w:r>
      <w:r>
        <w:rPr>
          <w:rFonts w:ascii="Bookman Old Style" w:eastAsia="Bookman Old Style" w:hAnsi="Bookman Old Style" w:cs="Bookman Old Style"/>
        </w:rPr>
        <w:t>desde un enfoque territorial. Esta estrategia digital, pero no exclusivamente limitada a ello, la diseñará, implementará y actualizará el Ministerio de las Culturas, las Artes y los Saberes, en articulación con los entes territoriales, autoridades de cultu</w:t>
      </w:r>
      <w:r>
        <w:rPr>
          <w:rFonts w:ascii="Bookman Old Style" w:eastAsia="Bookman Old Style" w:hAnsi="Bookman Old Style" w:cs="Bookman Old Style"/>
        </w:rPr>
        <w:t>ra, RTVC Sistema de Medios Públicos. Para esta divulgación serán prioritarias las personas en condición de discapacidad de la tercera edad, la primera infancia, la infancia, la juventud y los sectores sociales más vulnerables. Adicionalmente, esta estrateg</w:t>
      </w:r>
      <w:r>
        <w:rPr>
          <w:rFonts w:ascii="Bookman Old Style" w:eastAsia="Bookman Old Style" w:hAnsi="Bookman Old Style" w:cs="Bookman Old Style"/>
        </w:rPr>
        <w:t xml:space="preserve">ia incluirá una línea para fortalecer la capacidad de las organizaciones culturales para hacer divulgación de sus ofertas. </w:t>
      </w:r>
    </w:p>
    <w:p w:rsidR="00923769" w:rsidRDefault="00923769">
      <w:pPr>
        <w:jc w:val="both"/>
        <w:rPr>
          <w:rFonts w:ascii="Bookman Old Style" w:eastAsia="Bookman Old Style" w:hAnsi="Bookman Old Style" w:cs="Bookman Old Style"/>
        </w:rPr>
      </w:pPr>
    </w:p>
    <w:p w:rsidR="00923769" w:rsidRDefault="00450620">
      <w:pPr>
        <w:jc w:val="both"/>
        <w:rPr>
          <w:rFonts w:ascii="Bookman Old Style" w:eastAsia="Bookman Old Style" w:hAnsi="Bookman Old Style" w:cs="Bookman Old Style"/>
        </w:rPr>
      </w:pPr>
      <w:r>
        <w:rPr>
          <w:rFonts w:ascii="Bookman Old Style" w:eastAsia="Bookman Old Style" w:hAnsi="Bookman Old Style" w:cs="Bookman Old Style"/>
          <w:b/>
        </w:rPr>
        <w:lastRenderedPageBreak/>
        <w:t>Parágrafo 1°.</w:t>
      </w:r>
      <w:r>
        <w:rPr>
          <w:rFonts w:ascii="Bookman Old Style" w:eastAsia="Bookman Old Style" w:hAnsi="Bookman Old Style" w:cs="Bookman Old Style"/>
        </w:rPr>
        <w:t xml:space="preserve"> Desde los estímulos para el arte y la cultura que se ofrezcan en el nivel nacional se deben crear categorías que fome</w:t>
      </w:r>
      <w:r>
        <w:rPr>
          <w:rFonts w:ascii="Bookman Old Style" w:eastAsia="Bookman Old Style" w:hAnsi="Bookman Old Style" w:cs="Bookman Old Style"/>
        </w:rPr>
        <w:t xml:space="preserve">nten el periodismo y la crítica cultural para el fortalecimiento del consumo, a través de la Canasta Básica Cultural. </w:t>
      </w:r>
    </w:p>
    <w:p w:rsidR="00923769" w:rsidRDefault="00923769">
      <w:pPr>
        <w:jc w:val="both"/>
        <w:rPr>
          <w:rFonts w:ascii="Bookman Old Style" w:eastAsia="Bookman Old Style" w:hAnsi="Bookman Old Style" w:cs="Bookman Old Style"/>
        </w:rPr>
      </w:pPr>
    </w:p>
    <w:p w:rsidR="00923769" w:rsidRDefault="00450620">
      <w:pPr>
        <w:jc w:val="both"/>
        <w:rPr>
          <w:rFonts w:ascii="Bookman Old Style" w:eastAsia="Bookman Old Style" w:hAnsi="Bookman Old Style" w:cs="Bookman Old Style"/>
          <w:b/>
        </w:rPr>
      </w:pPr>
      <w:r>
        <w:rPr>
          <w:rFonts w:ascii="Bookman Old Style" w:eastAsia="Bookman Old Style" w:hAnsi="Bookman Old Style" w:cs="Bookman Old Style"/>
          <w:b/>
        </w:rPr>
        <w:t>Parágrafo 2º.</w:t>
      </w:r>
      <w:r>
        <w:rPr>
          <w:rFonts w:ascii="Bookman Old Style" w:eastAsia="Bookman Old Style" w:hAnsi="Bookman Old Style" w:cs="Bookman Old Style"/>
        </w:rPr>
        <w:t xml:space="preserve"> Los medios de comunicación públicos deben implementar mecanismos para incluir en su programación las producciones artístic</w:t>
      </w:r>
      <w:r>
        <w:rPr>
          <w:rFonts w:ascii="Bookman Old Style" w:eastAsia="Bookman Old Style" w:hAnsi="Bookman Old Style" w:cs="Bookman Old Style"/>
        </w:rPr>
        <w:t xml:space="preserve">as y culturales locales, ya sean ganadoras de estímulos de arte y cultura o producciones autogestionadas. </w:t>
      </w:r>
      <w:r>
        <w:rPr>
          <w:rFonts w:ascii="Bookman Old Style" w:eastAsia="Bookman Old Style" w:hAnsi="Bookman Old Style" w:cs="Bookman Old Style"/>
        </w:rPr>
        <w:br/>
      </w:r>
    </w:p>
    <w:p w:rsidR="00923769" w:rsidRDefault="00450620">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10°. Estrategia móvil. </w:t>
      </w:r>
      <w:r>
        <w:rPr>
          <w:rFonts w:ascii="Bookman Old Style" w:eastAsia="Bookman Old Style" w:hAnsi="Bookman Old Style" w:cs="Bookman Old Style"/>
        </w:rPr>
        <w:t>Créese una estrategia móvil en cabeza del Ministerio de las Culturas, las Artes y los Saberes, con la colaboración d</w:t>
      </w:r>
      <w:r>
        <w:rPr>
          <w:rFonts w:ascii="Bookman Old Style" w:eastAsia="Bookman Old Style" w:hAnsi="Bookman Old Style" w:cs="Bookman Old Style"/>
        </w:rPr>
        <w:t>el Ministerio de Comercio, Industria y Turismo, y sus fondos y entidades adscritas en el marco de sus competencias legales, para fortalecer e incentivar el consumo de los elementos de la Canasta Básica Cultural a las poblaciones urbanas y rurales que no cu</w:t>
      </w:r>
      <w:r>
        <w:rPr>
          <w:rFonts w:ascii="Bookman Old Style" w:eastAsia="Bookman Old Style" w:hAnsi="Bookman Old Style" w:cs="Bookman Old Style"/>
        </w:rPr>
        <w:t xml:space="preserve">enten con oferta cultural o que esta sea carente productos y servicios artísticos, culturales, y de otros municipios priorizados de acuerdo con el enfoque territorial teniendo en cuenta los municipios PDET y ZOMAC. </w:t>
      </w:r>
    </w:p>
    <w:p w:rsidR="00923769" w:rsidRDefault="00923769">
      <w:pPr>
        <w:jc w:val="both"/>
        <w:rPr>
          <w:rFonts w:ascii="Bookman Old Style" w:eastAsia="Bookman Old Style" w:hAnsi="Bookman Old Style" w:cs="Bookman Old Style"/>
        </w:rPr>
      </w:pPr>
    </w:p>
    <w:p w:rsidR="00923769" w:rsidRDefault="00450620">
      <w:pPr>
        <w:jc w:val="both"/>
        <w:rPr>
          <w:rFonts w:ascii="Bookman Old Style" w:eastAsia="Bookman Old Style" w:hAnsi="Bookman Old Style" w:cs="Bookman Old Style"/>
        </w:rPr>
      </w:pPr>
      <w:r>
        <w:rPr>
          <w:rFonts w:ascii="Bookman Old Style" w:eastAsia="Bookman Old Style" w:hAnsi="Bookman Old Style" w:cs="Bookman Old Style"/>
          <w:b/>
        </w:rPr>
        <w:t>Parágrafo 1°.</w:t>
      </w:r>
      <w:r>
        <w:rPr>
          <w:rFonts w:ascii="Bookman Old Style" w:eastAsia="Bookman Old Style" w:hAnsi="Bookman Old Style" w:cs="Bookman Old Style"/>
        </w:rPr>
        <w:t xml:space="preserve"> Equipamientos culturales.</w:t>
      </w:r>
      <w:r>
        <w:rPr>
          <w:rFonts w:ascii="Bookman Old Style" w:eastAsia="Bookman Old Style" w:hAnsi="Bookman Old Style" w:cs="Bookman Old Style"/>
        </w:rPr>
        <w:t xml:space="preserve"> A partir de la Encuesta de Consumo Cultural (ECC) del DANE, el Ministerio de las Culturas, las Artes y los Saberes, identificará los territorios con menor cantidad de equipamientos culturales, que serán priorizados para la implementación de la estrategia </w:t>
      </w:r>
      <w:r>
        <w:rPr>
          <w:rFonts w:ascii="Bookman Old Style" w:eastAsia="Bookman Old Style" w:hAnsi="Bookman Old Style" w:cs="Bookman Old Style"/>
        </w:rPr>
        <w:t xml:space="preserve">móvil. </w:t>
      </w:r>
    </w:p>
    <w:p w:rsidR="00923769" w:rsidRDefault="00923769">
      <w:pPr>
        <w:jc w:val="both"/>
        <w:rPr>
          <w:rFonts w:ascii="Bookman Old Style" w:eastAsia="Bookman Old Style" w:hAnsi="Bookman Old Style" w:cs="Bookman Old Style"/>
        </w:rPr>
      </w:pPr>
    </w:p>
    <w:p w:rsidR="00923769" w:rsidRDefault="00450620">
      <w:pPr>
        <w:jc w:val="both"/>
        <w:rPr>
          <w:rFonts w:ascii="Bookman Old Style" w:eastAsia="Bookman Old Style" w:hAnsi="Bookman Old Style" w:cs="Bookman Old Style"/>
        </w:rPr>
      </w:pPr>
      <w:r>
        <w:rPr>
          <w:rFonts w:ascii="Bookman Old Style" w:eastAsia="Bookman Old Style" w:hAnsi="Bookman Old Style" w:cs="Bookman Old Style"/>
          <w:b/>
        </w:rPr>
        <w:t>Parágrafo 2°</w:t>
      </w:r>
      <w:r>
        <w:rPr>
          <w:rFonts w:ascii="Bookman Old Style" w:eastAsia="Bookman Old Style" w:hAnsi="Bookman Old Style" w:cs="Bookman Old Style"/>
        </w:rPr>
        <w:t>. El Ministerio de las Culturas, las Artes y los Saberes implementará un enfoque diferencial de atención territorial para los municipios PDET, ZOMAC y de categorías 5 y 6, en aras de darles prelación en la provisión de equipamientos cu</w:t>
      </w:r>
      <w:r>
        <w:rPr>
          <w:rFonts w:ascii="Bookman Old Style" w:eastAsia="Bookman Old Style" w:hAnsi="Bookman Old Style" w:cs="Bookman Old Style"/>
        </w:rPr>
        <w:t xml:space="preserve">lturales. </w:t>
      </w:r>
    </w:p>
    <w:p w:rsidR="00923769" w:rsidRDefault="00450620">
      <w:pPr>
        <w:rPr>
          <w:rFonts w:ascii="Bookman Old Style" w:eastAsia="Bookman Old Style" w:hAnsi="Bookman Old Style" w:cs="Bookman Old Style"/>
          <w:b/>
        </w:rPr>
      </w:pPr>
      <w:r>
        <w:rPr>
          <w:rFonts w:ascii="Bookman Old Style" w:eastAsia="Bookman Old Style" w:hAnsi="Bookman Old Style" w:cs="Bookman Old Style"/>
          <w:b/>
        </w:rPr>
        <w:t xml:space="preserve"> </w:t>
      </w:r>
    </w:p>
    <w:p w:rsidR="00923769" w:rsidRDefault="00450620">
      <w:pPr>
        <w:jc w:val="both"/>
        <w:rPr>
          <w:rFonts w:ascii="Bookman Old Style" w:eastAsia="Bookman Old Style" w:hAnsi="Bookman Old Style" w:cs="Bookman Old Style"/>
          <w:b/>
        </w:rPr>
      </w:pPr>
      <w:r>
        <w:rPr>
          <w:rFonts w:ascii="Bookman Old Style" w:eastAsia="Bookman Old Style" w:hAnsi="Bookman Old Style" w:cs="Bookman Old Style"/>
          <w:b/>
        </w:rPr>
        <w:t xml:space="preserve">Artículo 11. Creación del índice de consumo cultural. </w:t>
      </w:r>
      <w:r>
        <w:rPr>
          <w:rFonts w:ascii="Bookman Old Style" w:eastAsia="Bookman Old Style" w:hAnsi="Bookman Old Style" w:cs="Bookman Old Style"/>
        </w:rPr>
        <w:t xml:space="preserve">Créese dentro de la Cuenta Satélite de Cultura y Economías Creativas del DANE un índice de consumo cultural que permita la comparación teniendo en cuenta las variables de oferta, demanda e </w:t>
      </w:r>
      <w:r>
        <w:rPr>
          <w:rFonts w:ascii="Bookman Old Style" w:eastAsia="Bookman Old Style" w:hAnsi="Bookman Old Style" w:cs="Bookman Old Style"/>
        </w:rPr>
        <w:t xml:space="preserve">infraestructura cultural. Lo anterior, identificando y caracterizando a la población étnica, para su reconocimiento con base en sus prácticas culturales propias y ancestrales. </w:t>
      </w:r>
      <w:r>
        <w:rPr>
          <w:rFonts w:ascii="Bookman Old Style" w:eastAsia="Bookman Old Style" w:hAnsi="Bookman Old Style" w:cs="Bookman Old Style"/>
        </w:rPr>
        <w:br/>
      </w:r>
    </w:p>
    <w:p w:rsidR="00923769" w:rsidRDefault="00450620">
      <w:pPr>
        <w:jc w:val="both"/>
        <w:rPr>
          <w:rFonts w:ascii="Bookman Old Style" w:eastAsia="Bookman Old Style" w:hAnsi="Bookman Old Style" w:cs="Bookman Old Style"/>
          <w:b/>
        </w:rPr>
      </w:pPr>
      <w:r>
        <w:rPr>
          <w:rFonts w:ascii="Bookman Old Style" w:eastAsia="Bookman Old Style" w:hAnsi="Bookman Old Style" w:cs="Bookman Old Style"/>
          <w:b/>
        </w:rPr>
        <w:t xml:space="preserve">Artículo 12. Seguimiento. </w:t>
      </w:r>
      <w:r>
        <w:rPr>
          <w:rFonts w:ascii="Bookman Old Style" w:eastAsia="Bookman Old Style" w:hAnsi="Bookman Old Style" w:cs="Bookman Old Style"/>
        </w:rPr>
        <w:t xml:space="preserve">El Gobierno Nacional a través del Ministerio de las </w:t>
      </w:r>
      <w:r>
        <w:rPr>
          <w:rFonts w:ascii="Bookman Old Style" w:eastAsia="Bookman Old Style" w:hAnsi="Bookman Old Style" w:cs="Bookman Old Style"/>
        </w:rPr>
        <w:t>Culturas, las Artes y los Saberes, y en coordinación con el Departamento Nacional de Planeación, harán un seguimiento anual a la política de Canasta Básica Cultural con el fin de evaluar su impacto. Dicha evaluación debe ser publicada a través de un docume</w:t>
      </w:r>
      <w:r>
        <w:rPr>
          <w:rFonts w:ascii="Bookman Old Style" w:eastAsia="Bookman Old Style" w:hAnsi="Bookman Old Style" w:cs="Bookman Old Style"/>
        </w:rPr>
        <w:t>nto de acceso público que será remitido a las Comisiones Sextas Constitucionales de la Cámara de Representantes y del Senado de la República.</w:t>
      </w:r>
      <w:r>
        <w:rPr>
          <w:rFonts w:ascii="Bookman Old Style" w:eastAsia="Bookman Old Style" w:hAnsi="Bookman Old Style" w:cs="Bookman Old Style"/>
        </w:rPr>
        <w:br/>
      </w:r>
    </w:p>
    <w:p w:rsidR="00923769" w:rsidRDefault="00450620">
      <w:pPr>
        <w:jc w:val="both"/>
        <w:rPr>
          <w:rFonts w:ascii="Bookman Old Style" w:eastAsia="Bookman Old Style" w:hAnsi="Bookman Old Style" w:cs="Bookman Old Style"/>
          <w:b/>
        </w:rPr>
      </w:pPr>
      <w:r>
        <w:rPr>
          <w:rFonts w:ascii="Bookman Old Style" w:eastAsia="Bookman Old Style" w:hAnsi="Bookman Old Style" w:cs="Bookman Old Style"/>
          <w:b/>
        </w:rPr>
        <w:t xml:space="preserve">Artículo 13. Campaña de difusión masiva. </w:t>
      </w:r>
      <w:r>
        <w:rPr>
          <w:rFonts w:ascii="Bookman Old Style" w:eastAsia="Bookman Old Style" w:hAnsi="Bookman Old Style" w:cs="Bookman Old Style"/>
        </w:rPr>
        <w:t xml:space="preserve">El Gobierno nacional a través del Ministerio de las Culturas, las Artes </w:t>
      </w:r>
      <w:r>
        <w:rPr>
          <w:rFonts w:ascii="Bookman Old Style" w:eastAsia="Bookman Old Style" w:hAnsi="Bookman Old Style" w:cs="Bookman Old Style"/>
        </w:rPr>
        <w:t>y los Saberes, deberá implementar una campaña de difusión masiva de la política de la Canasta Básica Cultural. En concurrencia con el sector cultural y RTVC Sistema de Medios Públicos, crearán una estrategia para la articulación de los programas y proyecto</w:t>
      </w:r>
      <w:r>
        <w:rPr>
          <w:rFonts w:ascii="Bookman Old Style" w:eastAsia="Bookman Old Style" w:hAnsi="Bookman Old Style" w:cs="Bookman Old Style"/>
        </w:rPr>
        <w:t xml:space="preserve">s con esta campaña de difusión. El Ministerio de Tecnologías de la Información y las Comunicaciones o quien haga sus </w:t>
      </w:r>
      <w:r>
        <w:rPr>
          <w:rFonts w:ascii="Bookman Old Style" w:eastAsia="Bookman Old Style" w:hAnsi="Bookman Old Style" w:cs="Bookman Old Style"/>
        </w:rPr>
        <w:lastRenderedPageBreak/>
        <w:t>veces, creará un programa para emprendedores digitales que estén interesados en el desarrollo de soluciones para facilitar el acceso a la C</w:t>
      </w:r>
      <w:r>
        <w:rPr>
          <w:rFonts w:ascii="Bookman Old Style" w:eastAsia="Bookman Old Style" w:hAnsi="Bookman Old Style" w:cs="Bookman Old Style"/>
        </w:rPr>
        <w:t xml:space="preserve">anasta Básica Cultural. </w:t>
      </w:r>
      <w:r>
        <w:rPr>
          <w:rFonts w:ascii="Bookman Old Style" w:eastAsia="Bookman Old Style" w:hAnsi="Bookman Old Style" w:cs="Bookman Old Style"/>
        </w:rPr>
        <w:br/>
      </w:r>
    </w:p>
    <w:p w:rsidR="00923769" w:rsidRDefault="00450620">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14. Reglamentación de la Canasta Básica Cultural. </w:t>
      </w:r>
      <w:r>
        <w:rPr>
          <w:rFonts w:ascii="Bookman Old Style" w:eastAsia="Bookman Old Style" w:hAnsi="Bookman Old Style" w:cs="Bookman Old Style"/>
        </w:rPr>
        <w:t xml:space="preserve">El Gobierno nacional por medio del Ministerio de las Culturas, las Artes y los Saberes contará con un término máximo de hasta dieciocho (18) meses, a partir de la entrada </w:t>
      </w:r>
      <w:r>
        <w:rPr>
          <w:rFonts w:ascii="Bookman Old Style" w:eastAsia="Bookman Old Style" w:hAnsi="Bookman Old Style" w:cs="Bookman Old Style"/>
        </w:rPr>
        <w:t>en vigencia de la presente ley, para reglamentar la política de Canasta Básica Cultural y buscar la cofinanciación de sus programas y estrategias, conforme a lo dispuesto en la presente ley.</w:t>
      </w:r>
    </w:p>
    <w:p w:rsidR="00923769" w:rsidRDefault="00923769">
      <w:pPr>
        <w:jc w:val="both"/>
        <w:rPr>
          <w:rFonts w:ascii="Bookman Old Style" w:eastAsia="Bookman Old Style" w:hAnsi="Bookman Old Style" w:cs="Bookman Old Style"/>
        </w:rPr>
      </w:pPr>
    </w:p>
    <w:p w:rsidR="00923769" w:rsidRDefault="00450620">
      <w:pPr>
        <w:jc w:val="both"/>
        <w:rPr>
          <w:rFonts w:ascii="Bookman Old Style" w:eastAsia="Bookman Old Style" w:hAnsi="Bookman Old Style" w:cs="Bookman Old Style"/>
          <w:b/>
        </w:rPr>
      </w:pPr>
      <w:r>
        <w:rPr>
          <w:rFonts w:ascii="Bookman Old Style" w:eastAsia="Bookman Old Style" w:hAnsi="Bookman Old Style" w:cs="Bookman Old Style"/>
          <w:b/>
        </w:rPr>
        <w:t xml:space="preserve">Parágrafo: </w:t>
      </w:r>
      <w:r>
        <w:rPr>
          <w:rFonts w:ascii="Bookman Old Style" w:eastAsia="Bookman Old Style" w:hAnsi="Bookman Old Style" w:cs="Bookman Old Style"/>
        </w:rPr>
        <w:t>Este proceso del que trata el presente artículo inclu</w:t>
      </w:r>
      <w:r>
        <w:rPr>
          <w:rFonts w:ascii="Bookman Old Style" w:eastAsia="Bookman Old Style" w:hAnsi="Bookman Old Style" w:cs="Bookman Old Style"/>
        </w:rPr>
        <w:t>irá fases definidas para la implementación progresiva de la política , criterios de priorización, con metas e indicadores de seguimiento claros para evaluar el impacto y la efectividad de la Canasta Básica Cultural.</w:t>
      </w:r>
      <w:r>
        <w:rPr>
          <w:rFonts w:ascii="Bookman Old Style" w:eastAsia="Bookman Old Style" w:hAnsi="Bookman Old Style" w:cs="Bookman Old Style"/>
          <w:b/>
        </w:rPr>
        <w:t xml:space="preserve"> </w:t>
      </w:r>
      <w:r>
        <w:rPr>
          <w:rFonts w:ascii="Bookman Old Style" w:eastAsia="Bookman Old Style" w:hAnsi="Bookman Old Style" w:cs="Bookman Old Style"/>
          <w:b/>
        </w:rPr>
        <w:br/>
      </w:r>
    </w:p>
    <w:p w:rsidR="00923769" w:rsidRDefault="00450620">
      <w:pPr>
        <w:jc w:val="both"/>
        <w:rPr>
          <w:rFonts w:ascii="Bookman Old Style" w:eastAsia="Bookman Old Style" w:hAnsi="Bookman Old Style" w:cs="Bookman Old Style"/>
        </w:rPr>
      </w:pPr>
      <w:r>
        <w:rPr>
          <w:rFonts w:ascii="Bookman Old Style" w:eastAsia="Bookman Old Style" w:hAnsi="Bookman Old Style" w:cs="Bookman Old Style"/>
          <w:b/>
        </w:rPr>
        <w:t>Artículo 15. Apoyo a la programación l</w:t>
      </w:r>
      <w:r>
        <w:rPr>
          <w:rFonts w:ascii="Bookman Old Style" w:eastAsia="Bookman Old Style" w:hAnsi="Bookman Old Style" w:cs="Bookman Old Style"/>
          <w:b/>
        </w:rPr>
        <w:t xml:space="preserve">ocal. </w:t>
      </w:r>
      <w:r>
        <w:rPr>
          <w:rFonts w:ascii="Bookman Old Style" w:eastAsia="Bookman Old Style" w:hAnsi="Bookman Old Style" w:cs="Bookman Old Style"/>
        </w:rPr>
        <w:t>Los entes territoriales y autoridades culturales estimularán la programación local, que será de acceso libre y gratuito para públicos existentes y población vulnerable y priorizada.</w:t>
      </w:r>
    </w:p>
    <w:p w:rsidR="00923769" w:rsidRDefault="00450620">
      <w:pPr>
        <w:rPr>
          <w:rFonts w:ascii="Bookman Old Style" w:eastAsia="Bookman Old Style" w:hAnsi="Bookman Old Style" w:cs="Bookman Old Style"/>
          <w:b/>
        </w:rPr>
      </w:pPr>
      <w:r>
        <w:rPr>
          <w:rFonts w:ascii="Bookman Old Style" w:eastAsia="Bookman Old Style" w:hAnsi="Bookman Old Style" w:cs="Bookman Old Style"/>
          <w:b/>
        </w:rPr>
        <w:t xml:space="preserve"> </w:t>
      </w:r>
    </w:p>
    <w:p w:rsidR="00923769" w:rsidRDefault="00450620">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16. Recursos de las Cajas de Compensación Familiar para fines de esta ley. </w:t>
      </w:r>
      <w:r>
        <w:rPr>
          <w:rFonts w:ascii="Bookman Old Style" w:eastAsia="Bookman Old Style" w:hAnsi="Bookman Old Style" w:cs="Bookman Old Style"/>
        </w:rPr>
        <w:t xml:space="preserve">Las Cajas de Compensación Familiar podrán hacer uso de los recursos del saldo de obras y programas, establecidos en el numeral 4 del artículo 43 de la Ley 21 de 1982, y de </w:t>
      </w:r>
      <w:r>
        <w:rPr>
          <w:rFonts w:ascii="Bookman Old Style" w:eastAsia="Bookman Old Style" w:hAnsi="Bookman Old Style" w:cs="Bookman Old Style"/>
        </w:rPr>
        <w:t>los recursos destinados en el artículo 2.2.7.4.4.17 del Decreto 1072 de 2015, para los programas de educación básica y media, establecidos en el artículo 190 de la Ley 115 de 1994, también para los siguiente fines:</w:t>
      </w:r>
    </w:p>
    <w:p w:rsidR="00923769" w:rsidRDefault="00450620">
      <w:pPr>
        <w:numPr>
          <w:ilvl w:val="0"/>
          <w:numId w:val="2"/>
        </w:numPr>
        <w:jc w:val="both"/>
        <w:rPr>
          <w:rFonts w:ascii="Bookman Old Style" w:eastAsia="Bookman Old Style" w:hAnsi="Bookman Old Style" w:cs="Bookman Old Style"/>
        </w:rPr>
      </w:pPr>
      <w:r>
        <w:rPr>
          <w:rFonts w:ascii="Bookman Old Style" w:eastAsia="Bookman Old Style" w:hAnsi="Bookman Old Style" w:cs="Bookman Old Style"/>
        </w:rPr>
        <w:t>Hacia la expansión y fortalecimiento de l</w:t>
      </w:r>
      <w:r>
        <w:rPr>
          <w:rFonts w:ascii="Bookman Old Style" w:eastAsia="Bookman Old Style" w:hAnsi="Bookman Old Style" w:cs="Bookman Old Style"/>
        </w:rPr>
        <w:t>as bibliotecas e infraestructuras destinadas a los programas de formación continua, acceso al conocimiento e innovación social y cultural de la población, en los municipios, distritos y departamentos del país.</w:t>
      </w:r>
    </w:p>
    <w:p w:rsidR="00923769" w:rsidRDefault="00450620">
      <w:pPr>
        <w:numPr>
          <w:ilvl w:val="0"/>
          <w:numId w:val="2"/>
        </w:numPr>
        <w:jc w:val="both"/>
        <w:rPr>
          <w:rFonts w:ascii="Bookman Old Style" w:eastAsia="Bookman Old Style" w:hAnsi="Bookman Old Style" w:cs="Bookman Old Style"/>
        </w:rPr>
      </w:pPr>
      <w:r>
        <w:rPr>
          <w:rFonts w:ascii="Bookman Old Style" w:eastAsia="Bookman Old Style" w:hAnsi="Bookman Old Style" w:cs="Bookman Old Style"/>
        </w:rPr>
        <w:t>La prestación de servicios, tales como, la ges</w:t>
      </w:r>
      <w:r>
        <w:rPr>
          <w:rFonts w:ascii="Bookman Old Style" w:eastAsia="Bookman Old Style" w:hAnsi="Bookman Old Style" w:cs="Bookman Old Style"/>
        </w:rPr>
        <w:t>tión operativa, la administración, dotación, adecuación, mejoramiento y mantenimiento de las bibliotecas propias o en alianza con terceros.</w:t>
      </w:r>
    </w:p>
    <w:p w:rsidR="00923769" w:rsidRDefault="00450620">
      <w:pPr>
        <w:numPr>
          <w:ilvl w:val="0"/>
          <w:numId w:val="2"/>
        </w:numPr>
        <w:jc w:val="both"/>
        <w:rPr>
          <w:rFonts w:ascii="Bookman Old Style" w:eastAsia="Bookman Old Style" w:hAnsi="Bookman Old Style" w:cs="Bookman Old Style"/>
        </w:rPr>
      </w:pPr>
      <w:r>
        <w:rPr>
          <w:rFonts w:ascii="Bookman Old Style" w:eastAsia="Bookman Old Style" w:hAnsi="Bookman Old Style" w:cs="Bookman Old Style"/>
        </w:rPr>
        <w:t>Adicional al subsidio en especie, según la normatividad del sistema de subsidio familiar, apoyar a sus afiliados y b</w:t>
      </w:r>
      <w:r>
        <w:rPr>
          <w:rFonts w:ascii="Bookman Old Style" w:eastAsia="Bookman Old Style" w:hAnsi="Bookman Old Style" w:cs="Bookman Old Style"/>
        </w:rPr>
        <w:t>eneficiarios con la financiación del Bono Cultural como uno de los mecanismos de la canasta básica prevista en la presente ley.</w:t>
      </w:r>
    </w:p>
    <w:p w:rsidR="00923769" w:rsidRDefault="00923769">
      <w:pPr>
        <w:jc w:val="both"/>
        <w:rPr>
          <w:rFonts w:ascii="Bookman Old Style" w:eastAsia="Bookman Old Style" w:hAnsi="Bookman Old Style" w:cs="Bookman Old Style"/>
        </w:rPr>
      </w:pPr>
    </w:p>
    <w:p w:rsidR="00923769" w:rsidRDefault="00450620">
      <w:pPr>
        <w:jc w:val="both"/>
        <w:rPr>
          <w:rFonts w:ascii="Bookman Old Style" w:eastAsia="Bookman Old Style" w:hAnsi="Bookman Old Style" w:cs="Bookman Old Style"/>
          <w:b/>
        </w:rPr>
      </w:pPr>
      <w:r>
        <w:rPr>
          <w:rFonts w:ascii="Bookman Old Style" w:eastAsia="Bookman Old Style" w:hAnsi="Bookman Old Style" w:cs="Bookman Old Style"/>
          <w:b/>
        </w:rPr>
        <w:t xml:space="preserve">Artículo 17. </w:t>
      </w:r>
      <w:r>
        <w:rPr>
          <w:rFonts w:ascii="Bookman Old Style" w:eastAsia="Bookman Old Style" w:hAnsi="Bookman Old Style" w:cs="Bookman Old Style"/>
        </w:rPr>
        <w:t>Con el propósito de visibilizar la oferta de acceso a la cultura y aumentar la formación de públicos y el consumo,</w:t>
      </w:r>
      <w:r>
        <w:rPr>
          <w:rFonts w:ascii="Bookman Old Style" w:eastAsia="Bookman Old Style" w:hAnsi="Bookman Old Style" w:cs="Bookman Old Style"/>
        </w:rPr>
        <w:t xml:space="preserve"> el Ministerio de las Culturas, las Artes y los Saberes, con la participación de las entidades territoriales, desarrollará una aplicativo móvil que visibilice la programación periódica y mecanismos de gestión de audiencias de la Canasta Básica Cultural.</w:t>
      </w:r>
      <w:r>
        <w:rPr>
          <w:rFonts w:ascii="Bookman Old Style" w:eastAsia="Bookman Old Style" w:hAnsi="Bookman Old Style" w:cs="Bookman Old Style"/>
        </w:rPr>
        <w:br/>
      </w:r>
    </w:p>
    <w:p w:rsidR="00923769" w:rsidRDefault="00450620">
      <w:pPr>
        <w:jc w:val="both"/>
        <w:rPr>
          <w:rFonts w:ascii="Bookman Old Style" w:eastAsia="Bookman Old Style" w:hAnsi="Bookman Old Style" w:cs="Bookman Old Style"/>
        </w:rPr>
      </w:pPr>
      <w:r>
        <w:rPr>
          <w:rFonts w:ascii="Bookman Old Style" w:eastAsia="Bookman Old Style" w:hAnsi="Bookman Old Style" w:cs="Bookman Old Style"/>
          <w:b/>
        </w:rPr>
        <w:t>A</w:t>
      </w:r>
      <w:r>
        <w:rPr>
          <w:rFonts w:ascii="Bookman Old Style" w:eastAsia="Bookman Old Style" w:hAnsi="Bookman Old Style" w:cs="Bookman Old Style"/>
          <w:b/>
        </w:rPr>
        <w:t xml:space="preserve">rtículo 18. Vigencia y derogatorias. </w:t>
      </w:r>
      <w:r>
        <w:rPr>
          <w:rFonts w:ascii="Bookman Old Style" w:eastAsia="Bookman Old Style" w:hAnsi="Bookman Old Style" w:cs="Bookman Old Style"/>
        </w:rPr>
        <w:t>La presente ley rige a partir de la fecha de su publicación, y deroga las disposiciones que le sean contrarias.</w:t>
      </w:r>
    </w:p>
    <w:p w:rsidR="00923769" w:rsidRDefault="00923769">
      <w:pPr>
        <w:rPr>
          <w:b/>
        </w:rPr>
      </w:pPr>
    </w:p>
    <w:p w:rsidR="00923769" w:rsidRDefault="00450620">
      <w:pPr>
        <w:ind w:left="720"/>
        <w:rPr>
          <w:b/>
        </w:rPr>
      </w:pPr>
      <w:r>
        <w:br w:type="page"/>
      </w:r>
    </w:p>
    <w:p w:rsidR="00923769" w:rsidRDefault="00923769">
      <w:pPr>
        <w:ind w:left="720"/>
        <w:rPr>
          <w:b/>
        </w:rPr>
      </w:pPr>
    </w:p>
    <w:p w:rsidR="00923769" w:rsidRDefault="00450620">
      <w:pPr>
        <w:numPr>
          <w:ilvl w:val="0"/>
          <w:numId w:val="9"/>
        </w:numPr>
        <w:rPr>
          <w:b/>
        </w:rPr>
      </w:pPr>
      <w:r>
        <w:rPr>
          <w:b/>
        </w:rPr>
        <w:t xml:space="preserve">PROPOSICIÓN: </w:t>
      </w:r>
    </w:p>
    <w:p w:rsidR="00923769" w:rsidRDefault="00923769"/>
    <w:p w:rsidR="00923769" w:rsidRDefault="00450620">
      <w:pPr>
        <w:jc w:val="both"/>
        <w:rPr>
          <w:rFonts w:ascii="Bookman Old Style" w:eastAsia="Bookman Old Style" w:hAnsi="Bookman Old Style" w:cs="Bookman Old Style"/>
        </w:rPr>
      </w:pPr>
      <w:r>
        <w:rPr>
          <w:rFonts w:ascii="Bookman Old Style" w:eastAsia="Bookman Old Style" w:hAnsi="Bookman Old Style" w:cs="Bookman Old Style"/>
        </w:rPr>
        <w:t>En atención con las consideraciones descritas, los suscribientes conciliadores, solicitamos a las plenarias del Senado de la República y de la Cámara de Representantes aprobar el texto de conciliación del Proyecto de Ley N°  209 de 2022 Cámara - 343 de 202</w:t>
      </w:r>
      <w:r>
        <w:rPr>
          <w:rFonts w:ascii="Bookman Old Style" w:eastAsia="Bookman Old Style" w:hAnsi="Bookman Old Style" w:cs="Bookman Old Style"/>
        </w:rPr>
        <w:t>3 Senado “Por medio de la cual se establece la Canasta Básica Cultural en el país”.</w:t>
      </w:r>
      <w:r>
        <w:rPr>
          <w:rFonts w:ascii="Bookman Old Style" w:eastAsia="Bookman Old Style" w:hAnsi="Bookman Old Style" w:cs="Bookman Old Style"/>
        </w:rPr>
        <w:br/>
      </w:r>
      <w:r>
        <w:br/>
      </w:r>
      <w:r>
        <w:rPr>
          <w:rFonts w:ascii="Bookman Old Style" w:eastAsia="Bookman Old Style" w:hAnsi="Bookman Old Style" w:cs="Bookman Old Style"/>
        </w:rPr>
        <w:t>Atentamente,</w:t>
      </w:r>
    </w:p>
    <w:p w:rsidR="00923769" w:rsidRDefault="00923769"/>
    <w:p w:rsidR="00923769" w:rsidRDefault="00923769"/>
    <w:p w:rsidR="00923769" w:rsidRDefault="00923769"/>
    <w:p w:rsidR="00923769" w:rsidRDefault="00450620">
      <w:pPr>
        <w:rPr>
          <w:rFonts w:ascii="Bookman Old Style" w:eastAsia="Bookman Old Style" w:hAnsi="Bookman Old Style" w:cs="Bookman Old Style"/>
        </w:rPr>
      </w:pPr>
      <w:r>
        <w:rPr>
          <w:noProof/>
          <w:lang w:val="es-CO"/>
        </w:rPr>
        <w:drawing>
          <wp:anchor distT="114300" distB="114300" distL="114300" distR="114300" simplePos="0" relativeHeight="251660288" behindDoc="0" locked="0" layoutInCell="1" hidden="0" allowOverlap="1">
            <wp:simplePos x="0" y="0"/>
            <wp:positionH relativeFrom="column">
              <wp:posOffset>3305175</wp:posOffset>
            </wp:positionH>
            <wp:positionV relativeFrom="paragraph">
              <wp:posOffset>205713</wp:posOffset>
            </wp:positionV>
            <wp:extent cx="1722676" cy="111871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722676" cy="1118710"/>
                    </a:xfrm>
                    <a:prstGeom prst="rect">
                      <a:avLst/>
                    </a:prstGeom>
                    <a:ln/>
                  </pic:spPr>
                </pic:pic>
              </a:graphicData>
            </a:graphic>
          </wp:anchor>
        </w:drawing>
      </w:r>
    </w:p>
    <w:tbl>
      <w:tblPr>
        <w:tblStyle w:val="a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23769">
        <w:tc>
          <w:tcPr>
            <w:tcW w:w="4514" w:type="dxa"/>
            <w:shd w:val="clear" w:color="auto" w:fill="auto"/>
            <w:tcMar>
              <w:top w:w="100" w:type="dxa"/>
              <w:left w:w="100" w:type="dxa"/>
              <w:bottom w:w="100" w:type="dxa"/>
              <w:right w:w="100" w:type="dxa"/>
            </w:tcMar>
          </w:tcPr>
          <w:p w:rsidR="00923769" w:rsidRDefault="00923769">
            <w:pPr>
              <w:rPr>
                <w:rFonts w:ascii="Bookman Old Style" w:eastAsia="Bookman Old Style" w:hAnsi="Bookman Old Style" w:cs="Bookman Old Style"/>
                <w:b/>
              </w:rPr>
            </w:pPr>
          </w:p>
          <w:p w:rsidR="00923769" w:rsidRDefault="00923769">
            <w:pPr>
              <w:rPr>
                <w:rFonts w:ascii="Bookman Old Style" w:eastAsia="Bookman Old Style" w:hAnsi="Bookman Old Style" w:cs="Bookman Old Style"/>
                <w:b/>
              </w:rPr>
            </w:pPr>
          </w:p>
          <w:p w:rsidR="00923769" w:rsidRDefault="00923769">
            <w:pPr>
              <w:rPr>
                <w:rFonts w:ascii="Bookman Old Style" w:eastAsia="Bookman Old Style" w:hAnsi="Bookman Old Style" w:cs="Bookman Old Style"/>
                <w:b/>
              </w:rPr>
            </w:pPr>
          </w:p>
          <w:p w:rsidR="00923769" w:rsidRDefault="00923769">
            <w:pPr>
              <w:rPr>
                <w:rFonts w:ascii="Bookman Old Style" w:eastAsia="Bookman Old Style" w:hAnsi="Bookman Old Style" w:cs="Bookman Old Style"/>
                <w:b/>
              </w:rPr>
            </w:pPr>
          </w:p>
          <w:p w:rsidR="00923769" w:rsidRDefault="00923769">
            <w:pPr>
              <w:rPr>
                <w:rFonts w:ascii="Bookman Old Style" w:eastAsia="Bookman Old Style" w:hAnsi="Bookman Old Style" w:cs="Bookman Old Style"/>
                <w:b/>
              </w:rPr>
            </w:pPr>
          </w:p>
          <w:p w:rsidR="00923769" w:rsidRDefault="00450620">
            <w:pPr>
              <w:jc w:val="center"/>
              <w:rPr>
                <w:rFonts w:ascii="Bookman Old Style" w:eastAsia="Bookman Old Style" w:hAnsi="Bookman Old Style" w:cs="Bookman Old Style"/>
                <w:b/>
              </w:rPr>
            </w:pPr>
            <w:r>
              <w:rPr>
                <w:rFonts w:ascii="Bookman Old Style" w:eastAsia="Bookman Old Style" w:hAnsi="Bookman Old Style" w:cs="Bookman Old Style"/>
                <w:b/>
              </w:rPr>
              <w:t xml:space="preserve">SOLEDAD TAMAYO TAMAYO </w:t>
            </w:r>
          </w:p>
          <w:p w:rsidR="00923769" w:rsidRDefault="00450620">
            <w:pPr>
              <w:jc w:val="center"/>
              <w:rPr>
                <w:rFonts w:ascii="Bookman Old Style" w:eastAsia="Bookman Old Style" w:hAnsi="Bookman Old Style" w:cs="Bookman Old Style"/>
              </w:rPr>
            </w:pPr>
            <w:r>
              <w:rPr>
                <w:rFonts w:ascii="Bookman Old Style" w:eastAsia="Bookman Old Style" w:hAnsi="Bookman Old Style" w:cs="Bookman Old Style"/>
              </w:rPr>
              <w:t>Senadora de la República</w:t>
            </w:r>
          </w:p>
          <w:p w:rsidR="00923769" w:rsidRDefault="00450620">
            <w:pPr>
              <w:jc w:val="center"/>
              <w:rPr>
                <w:rFonts w:ascii="Bookman Old Style" w:eastAsia="Bookman Old Style" w:hAnsi="Bookman Old Style" w:cs="Bookman Old Style"/>
                <w:b/>
              </w:rPr>
            </w:pPr>
            <w:r>
              <w:rPr>
                <w:rFonts w:ascii="Bookman Old Style" w:eastAsia="Bookman Old Style" w:hAnsi="Bookman Old Style" w:cs="Bookman Old Style"/>
              </w:rPr>
              <w:t xml:space="preserve">Conciliadora </w:t>
            </w:r>
          </w:p>
        </w:tc>
        <w:tc>
          <w:tcPr>
            <w:tcW w:w="4514" w:type="dxa"/>
            <w:shd w:val="clear" w:color="auto" w:fill="auto"/>
            <w:tcMar>
              <w:top w:w="100" w:type="dxa"/>
              <w:left w:w="100" w:type="dxa"/>
              <w:bottom w:w="100" w:type="dxa"/>
              <w:right w:w="100" w:type="dxa"/>
            </w:tcMar>
          </w:tcPr>
          <w:p w:rsidR="00923769" w:rsidRDefault="00923769">
            <w:pPr>
              <w:rPr>
                <w:rFonts w:ascii="Bookman Old Style" w:eastAsia="Bookman Old Style" w:hAnsi="Bookman Old Style" w:cs="Bookman Old Style"/>
                <w:b/>
              </w:rPr>
            </w:pPr>
          </w:p>
          <w:p w:rsidR="00923769" w:rsidRDefault="00923769">
            <w:pPr>
              <w:jc w:val="center"/>
              <w:rPr>
                <w:rFonts w:ascii="Bookman Old Style" w:eastAsia="Bookman Old Style" w:hAnsi="Bookman Old Style" w:cs="Bookman Old Style"/>
                <w:b/>
              </w:rPr>
            </w:pPr>
          </w:p>
          <w:p w:rsidR="00923769" w:rsidRDefault="00923769">
            <w:pPr>
              <w:jc w:val="center"/>
              <w:rPr>
                <w:rFonts w:ascii="Bookman Old Style" w:eastAsia="Bookman Old Style" w:hAnsi="Bookman Old Style" w:cs="Bookman Old Style"/>
                <w:b/>
              </w:rPr>
            </w:pPr>
          </w:p>
          <w:p w:rsidR="00923769" w:rsidRDefault="00923769">
            <w:pPr>
              <w:jc w:val="center"/>
              <w:rPr>
                <w:rFonts w:ascii="Bookman Old Style" w:eastAsia="Bookman Old Style" w:hAnsi="Bookman Old Style" w:cs="Bookman Old Style"/>
                <w:b/>
              </w:rPr>
            </w:pPr>
          </w:p>
          <w:p w:rsidR="00923769" w:rsidRDefault="00923769">
            <w:pPr>
              <w:jc w:val="center"/>
              <w:rPr>
                <w:rFonts w:ascii="Bookman Old Style" w:eastAsia="Bookman Old Style" w:hAnsi="Bookman Old Style" w:cs="Bookman Old Style"/>
                <w:b/>
              </w:rPr>
            </w:pPr>
          </w:p>
          <w:p w:rsidR="00923769" w:rsidRDefault="00450620">
            <w:pPr>
              <w:jc w:val="center"/>
              <w:rPr>
                <w:rFonts w:ascii="Bookman Old Style" w:eastAsia="Bookman Old Style" w:hAnsi="Bookman Old Style" w:cs="Bookman Old Style"/>
              </w:rPr>
            </w:pPr>
            <w:r>
              <w:rPr>
                <w:rFonts w:ascii="Bookman Old Style" w:eastAsia="Bookman Old Style" w:hAnsi="Bookman Old Style" w:cs="Bookman Old Style"/>
                <w:b/>
              </w:rPr>
              <w:t xml:space="preserve">DANIEL CARVALHO MEJÍA </w:t>
            </w:r>
            <w:r>
              <w:rPr>
                <w:rFonts w:ascii="Bookman Old Style" w:eastAsia="Bookman Old Style" w:hAnsi="Bookman Old Style" w:cs="Bookman Old Style"/>
              </w:rPr>
              <w:t>Representante a la Cámara</w:t>
            </w:r>
          </w:p>
          <w:p w:rsidR="00923769" w:rsidRDefault="00450620">
            <w:pPr>
              <w:jc w:val="center"/>
              <w:rPr>
                <w:rFonts w:ascii="Bookman Old Style" w:eastAsia="Bookman Old Style" w:hAnsi="Bookman Old Style" w:cs="Bookman Old Style"/>
              </w:rPr>
            </w:pPr>
            <w:r>
              <w:rPr>
                <w:rFonts w:ascii="Bookman Old Style" w:eastAsia="Bookman Old Style" w:hAnsi="Bookman Old Style" w:cs="Bookman Old Style"/>
              </w:rPr>
              <w:t xml:space="preserve">Conciliador </w:t>
            </w:r>
          </w:p>
        </w:tc>
      </w:tr>
      <w:tr w:rsidR="00923769">
        <w:trPr>
          <w:trHeight w:val="1811"/>
        </w:trPr>
        <w:tc>
          <w:tcPr>
            <w:tcW w:w="4514" w:type="dxa"/>
            <w:shd w:val="clear" w:color="auto" w:fill="auto"/>
            <w:tcMar>
              <w:top w:w="100" w:type="dxa"/>
              <w:left w:w="100" w:type="dxa"/>
              <w:bottom w:w="100" w:type="dxa"/>
              <w:right w:w="100" w:type="dxa"/>
            </w:tcMar>
          </w:tcPr>
          <w:p w:rsidR="00923769" w:rsidRDefault="00923769">
            <w:pPr>
              <w:rPr>
                <w:rFonts w:ascii="Bookman Old Style" w:eastAsia="Bookman Old Style" w:hAnsi="Bookman Old Style" w:cs="Bookman Old Style"/>
                <w:b/>
              </w:rPr>
            </w:pPr>
          </w:p>
          <w:p w:rsidR="00923769" w:rsidRDefault="00923769">
            <w:pPr>
              <w:rPr>
                <w:rFonts w:ascii="Bookman Old Style" w:eastAsia="Bookman Old Style" w:hAnsi="Bookman Old Style" w:cs="Bookman Old Style"/>
                <w:b/>
              </w:rPr>
            </w:pPr>
          </w:p>
          <w:p w:rsidR="00923769" w:rsidRDefault="00923769">
            <w:pPr>
              <w:rPr>
                <w:rFonts w:ascii="Bookman Old Style" w:eastAsia="Bookman Old Style" w:hAnsi="Bookman Old Style" w:cs="Bookman Old Style"/>
                <w:b/>
              </w:rPr>
            </w:pPr>
          </w:p>
          <w:p w:rsidR="00923769" w:rsidRDefault="00923769">
            <w:pPr>
              <w:rPr>
                <w:rFonts w:ascii="Bookman Old Style" w:eastAsia="Bookman Old Style" w:hAnsi="Bookman Old Style" w:cs="Bookman Old Style"/>
                <w:b/>
              </w:rPr>
            </w:pPr>
          </w:p>
          <w:p w:rsidR="00923769" w:rsidRDefault="00923769">
            <w:pPr>
              <w:rPr>
                <w:rFonts w:ascii="Bookman Old Style" w:eastAsia="Bookman Old Style" w:hAnsi="Bookman Old Style" w:cs="Bookman Old Style"/>
                <w:b/>
              </w:rPr>
            </w:pPr>
          </w:p>
          <w:p w:rsidR="00923769" w:rsidRDefault="00450620">
            <w:pPr>
              <w:jc w:val="center"/>
              <w:rPr>
                <w:rFonts w:ascii="Bookman Old Style" w:eastAsia="Bookman Old Style" w:hAnsi="Bookman Old Style" w:cs="Bookman Old Style"/>
                <w:b/>
              </w:rPr>
            </w:pPr>
            <w:r>
              <w:rPr>
                <w:rFonts w:ascii="Bookman Old Style" w:eastAsia="Bookman Old Style" w:hAnsi="Bookman Old Style" w:cs="Bookman Old Style"/>
                <w:b/>
              </w:rPr>
              <w:t xml:space="preserve">ANA CAROLINA ESPITIA </w:t>
            </w:r>
            <w:r>
              <w:rPr>
                <w:rFonts w:ascii="Bookman Old Style" w:eastAsia="Bookman Old Style" w:hAnsi="Bookman Old Style" w:cs="Bookman Old Style"/>
                <w:b/>
              </w:rPr>
              <w:br/>
            </w:r>
            <w:r>
              <w:rPr>
                <w:rFonts w:ascii="Bookman Old Style" w:eastAsia="Bookman Old Style" w:hAnsi="Bookman Old Style" w:cs="Bookman Old Style"/>
              </w:rPr>
              <w:t xml:space="preserve">Senadora de la República </w:t>
            </w:r>
            <w:r>
              <w:rPr>
                <w:rFonts w:ascii="Bookman Old Style" w:eastAsia="Bookman Old Style" w:hAnsi="Bookman Old Style" w:cs="Bookman Old Style"/>
              </w:rPr>
              <w:br/>
              <w:t xml:space="preserve">Conciliadora </w:t>
            </w:r>
          </w:p>
        </w:tc>
        <w:tc>
          <w:tcPr>
            <w:tcW w:w="4514" w:type="dxa"/>
            <w:shd w:val="clear" w:color="auto" w:fill="auto"/>
            <w:tcMar>
              <w:top w:w="100" w:type="dxa"/>
              <w:left w:w="100" w:type="dxa"/>
              <w:bottom w:w="100" w:type="dxa"/>
              <w:right w:w="100" w:type="dxa"/>
            </w:tcMar>
          </w:tcPr>
          <w:p w:rsidR="00923769" w:rsidRDefault="00450620">
            <w:pPr>
              <w:rPr>
                <w:rFonts w:ascii="Bookman Old Style" w:eastAsia="Bookman Old Style" w:hAnsi="Bookman Old Style" w:cs="Bookman Old Style"/>
                <w:b/>
              </w:rPr>
            </w:pPr>
            <w:r>
              <w:rPr>
                <w:noProof/>
                <w:lang w:val="es-CO"/>
              </w:rPr>
              <w:drawing>
                <wp:anchor distT="114300" distB="114300" distL="114300" distR="114300" simplePos="0" relativeHeight="251661312" behindDoc="1" locked="0" layoutInCell="1" hidden="0" allowOverlap="1">
                  <wp:simplePos x="0" y="0"/>
                  <wp:positionH relativeFrom="column">
                    <wp:posOffset>152400</wp:posOffset>
                  </wp:positionH>
                  <wp:positionV relativeFrom="paragraph">
                    <wp:posOffset>89706</wp:posOffset>
                  </wp:positionV>
                  <wp:extent cx="2366963" cy="1027960"/>
                  <wp:effectExtent l="0" t="0" r="0" b="0"/>
                  <wp:wrapNone/>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366963" cy="1027960"/>
                          </a:xfrm>
                          <a:prstGeom prst="rect">
                            <a:avLst/>
                          </a:prstGeom>
                          <a:ln/>
                        </pic:spPr>
                      </pic:pic>
                    </a:graphicData>
                  </a:graphic>
                </wp:anchor>
              </w:drawing>
            </w:r>
          </w:p>
          <w:p w:rsidR="00923769" w:rsidRDefault="00923769">
            <w:pPr>
              <w:rPr>
                <w:rFonts w:ascii="Bookman Old Style" w:eastAsia="Bookman Old Style" w:hAnsi="Bookman Old Style" w:cs="Bookman Old Style"/>
                <w:b/>
              </w:rPr>
            </w:pPr>
          </w:p>
          <w:p w:rsidR="00923769" w:rsidRDefault="00923769">
            <w:pPr>
              <w:rPr>
                <w:rFonts w:ascii="Bookman Old Style" w:eastAsia="Bookman Old Style" w:hAnsi="Bookman Old Style" w:cs="Bookman Old Style"/>
                <w:b/>
              </w:rPr>
            </w:pPr>
          </w:p>
          <w:p w:rsidR="00923769" w:rsidRDefault="00923769">
            <w:pPr>
              <w:rPr>
                <w:rFonts w:ascii="Bookman Old Style" w:eastAsia="Bookman Old Style" w:hAnsi="Bookman Old Style" w:cs="Bookman Old Style"/>
                <w:b/>
              </w:rPr>
            </w:pPr>
          </w:p>
          <w:p w:rsidR="00923769" w:rsidRDefault="00923769">
            <w:pPr>
              <w:rPr>
                <w:rFonts w:ascii="Bookman Old Style" w:eastAsia="Bookman Old Style" w:hAnsi="Bookman Old Style" w:cs="Bookman Old Style"/>
                <w:b/>
              </w:rPr>
            </w:pPr>
          </w:p>
          <w:p w:rsidR="00923769" w:rsidRDefault="00450620">
            <w:pPr>
              <w:jc w:val="center"/>
              <w:rPr>
                <w:rFonts w:ascii="Bookman Old Style" w:eastAsia="Bookman Old Style" w:hAnsi="Bookman Old Style" w:cs="Bookman Old Style"/>
              </w:rPr>
            </w:pPr>
            <w:r>
              <w:rPr>
                <w:rFonts w:ascii="Bookman Old Style" w:eastAsia="Bookman Old Style" w:hAnsi="Bookman Old Style" w:cs="Bookman Old Style"/>
                <w:b/>
              </w:rPr>
              <w:t xml:space="preserve">JAIME RAÚL SALAMANCA </w:t>
            </w:r>
            <w:r>
              <w:rPr>
                <w:rFonts w:ascii="Bookman Old Style" w:eastAsia="Bookman Old Style" w:hAnsi="Bookman Old Style" w:cs="Bookman Old Style"/>
                <w:b/>
              </w:rPr>
              <w:br/>
            </w:r>
            <w:r>
              <w:rPr>
                <w:rFonts w:ascii="Bookman Old Style" w:eastAsia="Bookman Old Style" w:hAnsi="Bookman Old Style" w:cs="Bookman Old Style"/>
              </w:rPr>
              <w:t xml:space="preserve">Representante a la Cámara </w:t>
            </w:r>
            <w:r>
              <w:rPr>
                <w:rFonts w:ascii="Bookman Old Style" w:eastAsia="Bookman Old Style" w:hAnsi="Bookman Old Style" w:cs="Bookman Old Style"/>
              </w:rPr>
              <w:br/>
              <w:t xml:space="preserve">Conciliador </w:t>
            </w:r>
          </w:p>
        </w:tc>
      </w:tr>
    </w:tbl>
    <w:p w:rsidR="00923769" w:rsidRDefault="00923769">
      <w:pPr>
        <w:jc w:val="center"/>
      </w:pPr>
    </w:p>
    <w:sectPr w:rsidR="0092376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F3DB0"/>
    <w:multiLevelType w:val="multilevel"/>
    <w:tmpl w:val="9A705F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2AC405C"/>
    <w:multiLevelType w:val="multilevel"/>
    <w:tmpl w:val="ACF024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40525817"/>
    <w:multiLevelType w:val="multilevel"/>
    <w:tmpl w:val="5F907F1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49A04869"/>
    <w:multiLevelType w:val="multilevel"/>
    <w:tmpl w:val="6AC22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59AF5F81"/>
    <w:multiLevelType w:val="multilevel"/>
    <w:tmpl w:val="1FD0B08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AF0627D"/>
    <w:multiLevelType w:val="multilevel"/>
    <w:tmpl w:val="1DAEDC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624E098B"/>
    <w:multiLevelType w:val="multilevel"/>
    <w:tmpl w:val="8AA2EF2A"/>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62E12136"/>
    <w:multiLevelType w:val="multilevel"/>
    <w:tmpl w:val="7D4EBF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63BA123B"/>
    <w:multiLevelType w:val="multilevel"/>
    <w:tmpl w:val="11A43F7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67B30BFB"/>
    <w:multiLevelType w:val="multilevel"/>
    <w:tmpl w:val="9BAEDD6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69D37E83"/>
    <w:multiLevelType w:val="multilevel"/>
    <w:tmpl w:val="586E10AA"/>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6CBF32D0"/>
    <w:multiLevelType w:val="multilevel"/>
    <w:tmpl w:val="0E226D9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7"/>
  </w:num>
  <w:num w:numId="3">
    <w:abstractNumId w:val="1"/>
  </w:num>
  <w:num w:numId="4">
    <w:abstractNumId w:val="10"/>
  </w:num>
  <w:num w:numId="5">
    <w:abstractNumId w:val="9"/>
  </w:num>
  <w:num w:numId="6">
    <w:abstractNumId w:val="5"/>
  </w:num>
  <w:num w:numId="7">
    <w:abstractNumId w:val="8"/>
  </w:num>
  <w:num w:numId="8">
    <w:abstractNumId w:val="2"/>
  </w:num>
  <w:num w:numId="9">
    <w:abstractNumId w:val="4"/>
  </w:num>
  <w:num w:numId="10">
    <w:abstractNumId w:val="6"/>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769"/>
    <w:rsid w:val="00450620"/>
    <w:rsid w:val="009237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414004-30C2-4FFB-9E53-1C91E23C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yperlink" Target="https://www.camara.gov.co/representantes/daniel-carvalho-mejia" TargetMode="External"/><Relationship Id="rId18" Type="http://schemas.openxmlformats.org/officeDocument/2006/relationships/hyperlink" Target="https://www.camara.gov.co/representantes/wilder-iberson-escobar-ortiz" TargetMode="External"/><Relationship Id="rId26" Type="http://schemas.openxmlformats.org/officeDocument/2006/relationships/hyperlink" Target="https://www.camara.gov.co/representantes/agmeth-jose-escaf-tijerino" TargetMode="External"/><Relationship Id="rId3" Type="http://schemas.openxmlformats.org/officeDocument/2006/relationships/settings" Target="settings.xml"/><Relationship Id="rId21" Type="http://schemas.openxmlformats.org/officeDocument/2006/relationships/hyperlink" Target="https://www.camara.gov.co/representantes/juan-sebastian-gomez-gonzales" TargetMode="External"/><Relationship Id="rId7" Type="http://schemas.openxmlformats.org/officeDocument/2006/relationships/image" Target="media/image3.png"/><Relationship Id="rId12" Type="http://schemas.openxmlformats.org/officeDocument/2006/relationships/hyperlink" Target="https://www.camara.gov.co/guido-echeverri-piedrahita" TargetMode="External"/><Relationship Id="rId17" Type="http://schemas.openxmlformats.org/officeDocument/2006/relationships/hyperlink" Target="https://www.camara.gov.co/representantes/olga-lucia-velasquez-nieto" TargetMode="External"/><Relationship Id="rId25" Type="http://schemas.openxmlformats.org/officeDocument/2006/relationships/hyperlink" Target="https://www.camara.gov.co/representantes/pedro-baracutao-garcia-ospina" TargetMode="External"/><Relationship Id="rId2" Type="http://schemas.openxmlformats.org/officeDocument/2006/relationships/styles" Target="styles.xml"/><Relationship Id="rId16" Type="http://schemas.openxmlformats.org/officeDocument/2006/relationships/hyperlink" Target="https://www.camara.gov.co/representantes/duvalier-sanchez-arango" TargetMode="External"/><Relationship Id="rId20" Type="http://schemas.openxmlformats.org/officeDocument/2006/relationships/hyperlink" Target="https://www.camara.gov.co/representantes/elkin-rodolfo-ospina-ospina" TargetMode="External"/><Relationship Id="rId29" Type="http://schemas.openxmlformats.org/officeDocument/2006/relationships/hyperlink" Target="https://www.camara.gov.co/representantes/hernando-gonzalez"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amara.gov.co/pedro-hernando-florez-porras" TargetMode="External"/><Relationship Id="rId24" Type="http://schemas.openxmlformats.org/officeDocument/2006/relationships/hyperlink" Target="https://www.camara.gov.co/representantes/alejandro-garcia-rios" TargetMode="External"/><Relationship Id="rId5" Type="http://schemas.openxmlformats.org/officeDocument/2006/relationships/image" Target="media/image1.png"/><Relationship Id="rId15" Type="http://schemas.openxmlformats.org/officeDocument/2006/relationships/hyperlink" Target="https://www.camara.gov.co/representantes/carolina-giraldo-botero" TargetMode="External"/><Relationship Id="rId23" Type="http://schemas.openxmlformats.org/officeDocument/2006/relationships/hyperlink" Target="https://www.camara.gov.co/representantes/juan-carlos-lozada-vargas" TargetMode="External"/><Relationship Id="rId28" Type="http://schemas.openxmlformats.org/officeDocument/2006/relationships/hyperlink" Target="https://www.camara.gov.co/representantes/julian-peinado-ramirez" TargetMode="External"/><Relationship Id="rId10" Type="http://schemas.openxmlformats.org/officeDocument/2006/relationships/hyperlink" Target="https://www.camara.gov.co/angelica-lisbeth-lozano-correa" TargetMode="External"/><Relationship Id="rId19" Type="http://schemas.openxmlformats.org/officeDocument/2006/relationships/hyperlink" Target="https://www.camara.gov.co/representantes/jaime-raul-salamanca-torre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mara.gov.co/ana-carolina-espitia-jerez" TargetMode="External"/><Relationship Id="rId14" Type="http://schemas.openxmlformats.org/officeDocument/2006/relationships/hyperlink" Target="https://www.camara.gov.co/representantes/jennifer-dalley-pedraza-sandoval" TargetMode="External"/><Relationship Id="rId22" Type="http://schemas.openxmlformats.org/officeDocument/2006/relationships/hyperlink" Target="https://www.camara.gov.co/representantes/luis-carlos-ochoa-tobon" TargetMode="External"/><Relationship Id="rId27" Type="http://schemas.openxmlformats.org/officeDocument/2006/relationships/hyperlink" Target="https://www.camara.gov.co/representantes/diogenes-quintero-amay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10598</Words>
  <Characters>58290</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Fabian Castillo Rojas</dc:creator>
  <cp:lastModifiedBy>Alex Fabian Castillo Rojas</cp:lastModifiedBy>
  <cp:revision>2</cp:revision>
  <dcterms:created xsi:type="dcterms:W3CDTF">2024-06-14T03:46:00Z</dcterms:created>
  <dcterms:modified xsi:type="dcterms:W3CDTF">2024-06-14T03:46:00Z</dcterms:modified>
</cp:coreProperties>
</file>